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FE9F82" w14:textId="77777777" w:rsidR="00594F43" w:rsidRDefault="00594F43" w:rsidP="00195D07">
      <w:pPr>
        <w:jc w:val="center"/>
        <w:rPr>
          <w:b/>
          <w:bCs/>
          <w:i/>
          <w:iCs/>
          <w:sz w:val="24"/>
          <w:szCs w:val="24"/>
        </w:rPr>
      </w:pPr>
    </w:p>
    <w:p w14:paraId="6B1388DB" w14:textId="77777777" w:rsidR="00594F43" w:rsidRDefault="00594F43" w:rsidP="000E302E"/>
    <w:p w14:paraId="08815D6E" w14:textId="77777777" w:rsidR="00AB6417" w:rsidRPr="00A71A8E" w:rsidRDefault="00AB6417" w:rsidP="00AB6417">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sz w:val="20"/>
          <w:szCs w:val="20"/>
          <w:lang w:eastAsia="cs-CZ"/>
        </w:rPr>
      </w:pPr>
    </w:p>
    <w:p w14:paraId="5BAD7534" w14:textId="5AC82BC3" w:rsidR="00AB6417" w:rsidRDefault="00A6246C" w:rsidP="00A6246C">
      <w:pPr>
        <w:pBdr>
          <w:top w:val="single" w:sz="4" w:space="19" w:color="auto"/>
          <w:left w:val="single" w:sz="4" w:space="4" w:color="auto"/>
          <w:bottom w:val="single" w:sz="4" w:space="1" w:color="auto"/>
          <w:right w:val="single" w:sz="4" w:space="4" w:color="auto"/>
        </w:pBdr>
        <w:shd w:val="clear" w:color="auto" w:fill="D9D9D9" w:themeFill="background1" w:themeFillShade="D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Lines="60" w:after="144"/>
        <w:jc w:val="center"/>
        <w:rPr>
          <w:rFonts w:eastAsia="Times New Roman" w:cstheme="minorHAnsi"/>
          <w:b/>
          <w:sz w:val="28"/>
          <w:szCs w:val="28"/>
          <w:lang w:eastAsia="cs-CZ"/>
        </w:rPr>
      </w:pPr>
      <w:r w:rsidRPr="00A6246C">
        <w:rPr>
          <w:rFonts w:eastAsia="Times New Roman" w:cstheme="minorHAnsi"/>
          <w:b/>
          <w:sz w:val="28"/>
          <w:szCs w:val="28"/>
          <w:lang w:eastAsia="cs-CZ"/>
        </w:rPr>
        <w:t>Rekonstrukce veřejného osvětlení v Šumperku - 2. etapa</w:t>
      </w:r>
    </w:p>
    <w:p w14:paraId="5DA7DF00" w14:textId="77777777" w:rsidR="00A6246C" w:rsidRPr="00A71A8E" w:rsidRDefault="00A6246C" w:rsidP="00A6246C">
      <w:pPr>
        <w:pBdr>
          <w:top w:val="single" w:sz="4" w:space="19" w:color="auto"/>
          <w:left w:val="single" w:sz="4" w:space="4" w:color="auto"/>
          <w:bottom w:val="single" w:sz="4" w:space="1" w:color="auto"/>
          <w:right w:val="single" w:sz="4" w:space="4" w:color="auto"/>
        </w:pBdr>
        <w:shd w:val="clear" w:color="auto" w:fill="D9D9D9" w:themeFill="background1" w:themeFillShade="D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Lines="60" w:after="144"/>
        <w:jc w:val="center"/>
        <w:rPr>
          <w:rFonts w:eastAsia="Times New Roman" w:cstheme="minorHAnsi"/>
          <w:b/>
          <w:sz w:val="24"/>
          <w:szCs w:val="20"/>
          <w:lang w:eastAsia="cs-CZ"/>
        </w:rPr>
      </w:pPr>
    </w:p>
    <w:p w14:paraId="68A06287" w14:textId="7D6D8EAC" w:rsidR="000E302E" w:rsidRPr="0026540F" w:rsidRDefault="000E302E" w:rsidP="000E30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Lines="60" w:after="144"/>
        <w:rPr>
          <w:rFonts w:eastAsia="Times New Roman" w:cstheme="minorHAnsi"/>
          <w:sz w:val="20"/>
          <w:szCs w:val="20"/>
          <w:lang w:eastAsia="cs-CZ"/>
        </w:rPr>
      </w:pPr>
      <w:r>
        <w:rPr>
          <w:rFonts w:eastAsia="Times New Roman" w:cstheme="minorHAnsi"/>
          <w:sz w:val="20"/>
          <w:szCs w:val="20"/>
          <w:lang w:eastAsia="cs-CZ"/>
        </w:rPr>
        <w:t xml:space="preserve">                                                                                                                                                                 </w:t>
      </w:r>
    </w:p>
    <w:p w14:paraId="483B5A64" w14:textId="77777777" w:rsidR="000E302E" w:rsidRPr="0026540F" w:rsidRDefault="000E302E" w:rsidP="000E30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Lines="60" w:after="144"/>
        <w:jc w:val="center"/>
        <w:rPr>
          <w:rFonts w:eastAsia="Times New Roman" w:cstheme="minorHAnsi"/>
          <w:sz w:val="20"/>
          <w:szCs w:val="20"/>
          <w:lang w:eastAsia="cs-CZ"/>
        </w:rPr>
      </w:pPr>
    </w:p>
    <w:p w14:paraId="280784A6" w14:textId="62DB2B50" w:rsidR="000E302E" w:rsidRPr="0026540F" w:rsidRDefault="000E302E" w:rsidP="000E302E">
      <w:pPr>
        <w:pStyle w:val="VRMEKUStyl"/>
        <w:ind w:left="2184" w:hanging="2184"/>
        <w:jc w:val="center"/>
        <w:rPr>
          <w:rFonts w:cstheme="minorHAnsi"/>
          <w:sz w:val="20"/>
        </w:rPr>
      </w:pPr>
      <w:r w:rsidRPr="0026540F">
        <w:rPr>
          <w:rFonts w:asciiTheme="minorHAnsi" w:hAnsiTheme="minorHAnsi" w:cstheme="minorHAnsi"/>
        </w:rPr>
        <w:t>P</w:t>
      </w:r>
      <w:r w:rsidR="00CA6A22">
        <w:rPr>
          <w:rFonts w:asciiTheme="minorHAnsi" w:hAnsiTheme="minorHAnsi" w:cstheme="minorHAnsi"/>
        </w:rPr>
        <w:t>říloha</w:t>
      </w:r>
      <w:r w:rsidRPr="0026540F">
        <w:rPr>
          <w:rFonts w:asciiTheme="minorHAnsi" w:hAnsiTheme="minorHAnsi" w:cstheme="minorHAnsi"/>
        </w:rPr>
        <w:t xml:space="preserve"> </w:t>
      </w:r>
      <w:r>
        <w:rPr>
          <w:rFonts w:asciiTheme="minorHAnsi" w:hAnsiTheme="minorHAnsi" w:cstheme="minorHAnsi"/>
        </w:rPr>
        <w:t>č.</w:t>
      </w:r>
      <w:r w:rsidRPr="0026540F">
        <w:rPr>
          <w:rFonts w:asciiTheme="minorHAnsi" w:hAnsiTheme="minorHAnsi" w:cstheme="minorHAnsi"/>
        </w:rPr>
        <w:t> 1</w:t>
      </w:r>
      <w:r>
        <w:rPr>
          <w:rFonts w:asciiTheme="minorHAnsi" w:hAnsiTheme="minorHAnsi" w:cstheme="minorHAnsi"/>
        </w:rPr>
        <w:t>a</w:t>
      </w:r>
      <w:r w:rsidRPr="0026540F">
        <w:rPr>
          <w:rFonts w:asciiTheme="minorHAnsi" w:hAnsiTheme="minorHAnsi" w:cstheme="minorHAnsi"/>
        </w:rPr>
        <w:t xml:space="preserve"> – Technická dokumentace</w:t>
      </w:r>
    </w:p>
    <w:p w14:paraId="4378915F" w14:textId="77777777" w:rsidR="000E302E" w:rsidRPr="0026540F" w:rsidRDefault="000E302E" w:rsidP="000E302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sz w:val="20"/>
          <w:szCs w:val="20"/>
          <w:lang w:eastAsia="cs-CZ"/>
        </w:rPr>
      </w:pPr>
    </w:p>
    <w:p w14:paraId="036DC4C7" w14:textId="77777777" w:rsidR="000E302E" w:rsidRPr="0026540F" w:rsidRDefault="000E302E" w:rsidP="000E302E">
      <w:pPr>
        <w:pStyle w:val="Odstavecstyl"/>
        <w:rPr>
          <w:rFonts w:asciiTheme="minorHAnsi" w:hAnsiTheme="minorHAnsi" w:cstheme="minorHAnsi"/>
        </w:rPr>
      </w:pPr>
    </w:p>
    <w:p w14:paraId="2522C2E9" w14:textId="77777777" w:rsidR="000E302E" w:rsidRPr="00021F67" w:rsidRDefault="000E302E" w:rsidP="000E302E">
      <w:pPr>
        <w:pStyle w:val="Odstavecstyl"/>
        <w:rPr>
          <w:rFonts w:asciiTheme="minorHAnsi" w:hAnsiTheme="minorHAnsi" w:cstheme="minorHAnsi"/>
          <w:sz w:val="22"/>
          <w:szCs w:val="22"/>
        </w:rPr>
      </w:pPr>
    </w:p>
    <w:p w14:paraId="419C3C76" w14:textId="77777777" w:rsidR="000E302E" w:rsidRPr="00021F67" w:rsidRDefault="000E302E" w:rsidP="000E302E">
      <w:pPr>
        <w:pStyle w:val="Odstavecstyl"/>
        <w:rPr>
          <w:rFonts w:asciiTheme="minorHAnsi" w:hAnsiTheme="minorHAnsi" w:cstheme="minorHAnsi"/>
          <w:sz w:val="22"/>
          <w:szCs w:val="22"/>
        </w:rPr>
      </w:pPr>
      <w:r w:rsidRPr="00021F67">
        <w:rPr>
          <w:rFonts w:asciiTheme="minorHAnsi" w:hAnsiTheme="minorHAnsi" w:cstheme="minorHAnsi"/>
          <w:sz w:val="22"/>
          <w:szCs w:val="22"/>
        </w:rPr>
        <w:t>Tato příloha je nedílnou součástí Zadávací dokumentace a obsahuje požadavky zadavatele na technickou specifikaci osvětlovacích těles, parametry svítidel a dokumentaci k rozsahu zakázky.</w:t>
      </w:r>
    </w:p>
    <w:p w14:paraId="21C85036" w14:textId="77777777" w:rsidR="000E302E" w:rsidRPr="0026540F" w:rsidRDefault="000E302E" w:rsidP="000E302E">
      <w:pPr>
        <w:pStyle w:val="Odstavecstyl"/>
        <w:rPr>
          <w:rFonts w:asciiTheme="minorHAnsi" w:hAnsiTheme="minorHAnsi" w:cstheme="minorHAnsi"/>
        </w:rPr>
      </w:pPr>
    </w:p>
    <w:p w14:paraId="1A2B9735" w14:textId="77777777" w:rsidR="000E302E" w:rsidRDefault="000E302E" w:rsidP="000E302E"/>
    <w:p w14:paraId="0C115603" w14:textId="77777777" w:rsidR="000E302E" w:rsidRDefault="000E302E" w:rsidP="000E302E"/>
    <w:p w14:paraId="5275929C" w14:textId="77777777" w:rsidR="000E302E" w:rsidRDefault="000E302E" w:rsidP="000E302E"/>
    <w:p w14:paraId="531CFED8" w14:textId="77777777" w:rsidR="000E302E" w:rsidRDefault="000E302E" w:rsidP="000E302E"/>
    <w:p w14:paraId="5FD9C36F" w14:textId="77777777" w:rsidR="000E302E" w:rsidRDefault="000E302E" w:rsidP="000E302E"/>
    <w:p w14:paraId="69E80A3C" w14:textId="77777777" w:rsidR="000E302E" w:rsidRDefault="000E302E" w:rsidP="000E302E"/>
    <w:p w14:paraId="5AFF6E76" w14:textId="77777777" w:rsidR="000E302E" w:rsidRDefault="000E302E" w:rsidP="000E302E">
      <w:pPr>
        <w:pStyle w:val="Odstavecstyl"/>
        <w:rPr>
          <w:rFonts w:asciiTheme="minorHAnsi" w:hAnsiTheme="minorHAnsi" w:cstheme="minorHAnsi"/>
          <w:i/>
          <w:sz w:val="18"/>
        </w:rPr>
      </w:pPr>
    </w:p>
    <w:p w14:paraId="1718AD15" w14:textId="77777777" w:rsidR="000E302E" w:rsidRDefault="000E302E" w:rsidP="000E302E">
      <w:pPr>
        <w:pStyle w:val="Odstavecstyl"/>
        <w:rPr>
          <w:rFonts w:asciiTheme="minorHAnsi" w:hAnsiTheme="minorHAnsi" w:cstheme="minorHAnsi"/>
          <w:i/>
          <w:sz w:val="18"/>
        </w:rPr>
      </w:pPr>
    </w:p>
    <w:p w14:paraId="39662D5B" w14:textId="77777777" w:rsidR="000E302E" w:rsidRDefault="000E302E" w:rsidP="000E302E">
      <w:pPr>
        <w:pStyle w:val="Odstavecstyl"/>
        <w:rPr>
          <w:rFonts w:asciiTheme="minorHAnsi" w:hAnsiTheme="minorHAnsi" w:cstheme="minorHAnsi"/>
          <w:i/>
          <w:sz w:val="18"/>
        </w:rPr>
      </w:pPr>
    </w:p>
    <w:p w14:paraId="77521715" w14:textId="77777777" w:rsidR="000E302E" w:rsidRDefault="000E302E" w:rsidP="000E302E">
      <w:pPr>
        <w:pStyle w:val="Odstavecstyl"/>
        <w:rPr>
          <w:rFonts w:asciiTheme="minorHAnsi" w:hAnsiTheme="minorHAnsi" w:cstheme="minorHAnsi"/>
          <w:i/>
          <w:sz w:val="18"/>
        </w:rPr>
      </w:pPr>
    </w:p>
    <w:p w14:paraId="497B772D" w14:textId="77777777" w:rsidR="000E302E" w:rsidRDefault="000E302E" w:rsidP="000E302E">
      <w:pPr>
        <w:pStyle w:val="Odstavecstyl"/>
        <w:rPr>
          <w:rFonts w:asciiTheme="minorHAnsi" w:hAnsiTheme="minorHAnsi" w:cstheme="minorHAnsi"/>
          <w:i/>
          <w:sz w:val="18"/>
        </w:rPr>
      </w:pPr>
    </w:p>
    <w:p w14:paraId="7CDDFAFA" w14:textId="77777777" w:rsidR="000E302E" w:rsidRDefault="000E302E" w:rsidP="000E302E">
      <w:pPr>
        <w:pStyle w:val="Odstavecstyl"/>
        <w:rPr>
          <w:rFonts w:asciiTheme="minorHAnsi" w:hAnsiTheme="minorHAnsi" w:cstheme="minorHAnsi"/>
          <w:i/>
          <w:sz w:val="18"/>
        </w:rPr>
      </w:pPr>
    </w:p>
    <w:p w14:paraId="68928369" w14:textId="77777777" w:rsidR="000E302E" w:rsidRDefault="000E302E" w:rsidP="000E302E">
      <w:pPr>
        <w:pStyle w:val="Odstavecstyl"/>
        <w:rPr>
          <w:rFonts w:asciiTheme="minorHAnsi" w:hAnsiTheme="minorHAnsi" w:cstheme="minorHAnsi"/>
          <w:i/>
          <w:sz w:val="18"/>
        </w:rPr>
      </w:pPr>
    </w:p>
    <w:p w14:paraId="36EE0026" w14:textId="77777777" w:rsidR="000E302E" w:rsidRDefault="000E302E" w:rsidP="000E302E">
      <w:pPr>
        <w:pStyle w:val="Odstavecstyl"/>
        <w:rPr>
          <w:rFonts w:asciiTheme="minorHAnsi" w:hAnsiTheme="minorHAnsi" w:cstheme="minorHAnsi"/>
          <w:i/>
          <w:sz w:val="18"/>
        </w:rPr>
      </w:pPr>
    </w:p>
    <w:p w14:paraId="2A33BB77" w14:textId="77777777" w:rsidR="000E302E" w:rsidRDefault="000E302E" w:rsidP="000E302E">
      <w:pPr>
        <w:pStyle w:val="Odstavecstyl"/>
        <w:rPr>
          <w:rFonts w:asciiTheme="minorHAnsi" w:hAnsiTheme="minorHAnsi" w:cstheme="minorHAnsi"/>
          <w:i/>
          <w:sz w:val="18"/>
        </w:rPr>
      </w:pPr>
    </w:p>
    <w:p w14:paraId="5BE769B1" w14:textId="77777777" w:rsidR="000E302E" w:rsidRDefault="000E302E" w:rsidP="000E302E">
      <w:pPr>
        <w:pStyle w:val="Odstavecstyl"/>
        <w:rPr>
          <w:rFonts w:asciiTheme="minorHAnsi" w:hAnsiTheme="minorHAnsi" w:cstheme="minorHAnsi"/>
          <w:i/>
          <w:sz w:val="18"/>
        </w:rPr>
      </w:pPr>
    </w:p>
    <w:p w14:paraId="56D29260" w14:textId="77777777" w:rsidR="000E302E" w:rsidRPr="0026540F" w:rsidRDefault="000E302E" w:rsidP="000E302E">
      <w:pPr>
        <w:pStyle w:val="Odstavecstyl"/>
        <w:rPr>
          <w:rFonts w:asciiTheme="minorHAnsi" w:hAnsiTheme="minorHAnsi" w:cstheme="minorHAnsi"/>
          <w:i/>
          <w:sz w:val="18"/>
        </w:rPr>
      </w:pPr>
      <w:r w:rsidRPr="0026540F">
        <w:rPr>
          <w:rFonts w:asciiTheme="minorHAnsi" w:hAnsiTheme="minorHAnsi" w:cstheme="minorHAnsi"/>
          <w:i/>
          <w:sz w:val="18"/>
        </w:rPr>
        <w:t xml:space="preserve">[Pozn.: Obsahují-li zadávací podmínky či jiné podklady pro zpracování nabídky poskytnuté zadavatelem požadavky nebo odkazy na obchodní firmy, názvy nebo jména a příjmení, specifická označení zboží a služeb, které platí pro určitou osobu, případně její organizační složku za příznačné, patenty na vynálezy, užitné vzory, průmyslové vzory, ochranné známky nebo označení původu, pokud by to vedlo ke zvýhodnění nebo vyloučení určitých dodavatelů nebo určitých výrobků, má se za to, že zadavatel připouští pro plnění zakázky použití i jiných, kvalitativně a technicky obdobných řešení.] </w:t>
      </w:r>
    </w:p>
    <w:p w14:paraId="0116825C" w14:textId="77777777" w:rsidR="00A5501A" w:rsidRDefault="00A5501A" w:rsidP="009239DC">
      <w:pPr>
        <w:keepNext/>
        <w:rPr>
          <w:b/>
          <w:bCs/>
          <w:u w:val="single"/>
        </w:rPr>
      </w:pPr>
    </w:p>
    <w:p w14:paraId="36C413D6" w14:textId="77777777" w:rsidR="007C602A" w:rsidRDefault="007C602A" w:rsidP="009239DC">
      <w:pPr>
        <w:keepNext/>
        <w:rPr>
          <w:b/>
          <w:bCs/>
          <w:u w:val="single"/>
        </w:rPr>
      </w:pPr>
    </w:p>
    <w:p w14:paraId="2D323086" w14:textId="16BA3882" w:rsidR="00673EE1" w:rsidRPr="009239DC" w:rsidRDefault="009239DC" w:rsidP="009239DC">
      <w:pPr>
        <w:keepNext/>
        <w:rPr>
          <w:b/>
          <w:bCs/>
          <w:u w:val="single"/>
        </w:rPr>
      </w:pPr>
      <w:r w:rsidRPr="009239DC">
        <w:rPr>
          <w:b/>
          <w:bCs/>
          <w:u w:val="single"/>
        </w:rPr>
        <w:t>Technické parametry svítidel</w:t>
      </w:r>
    </w:p>
    <w:p w14:paraId="28B6C24D" w14:textId="77777777" w:rsidR="009239DC" w:rsidRDefault="009239DC" w:rsidP="009239DC">
      <w:pPr>
        <w:keepNext/>
      </w:pPr>
    </w:p>
    <w:p w14:paraId="7067DD04" w14:textId="426B6E30" w:rsidR="009239DC" w:rsidRPr="00A71A8E" w:rsidRDefault="009239DC" w:rsidP="009239DC">
      <w:pPr>
        <w:pStyle w:val="Zkladntext"/>
        <w:spacing w:line="360" w:lineRule="auto"/>
        <w:ind w:left="0" w:right="113"/>
        <w:jc w:val="both"/>
        <w:rPr>
          <w:rFonts w:asciiTheme="minorHAnsi" w:hAnsiTheme="minorHAnsi" w:cstheme="minorHAnsi"/>
          <w:lang w:val="cs-CZ"/>
        </w:rPr>
      </w:pPr>
      <w:r w:rsidRPr="00A71A8E">
        <w:rPr>
          <w:rFonts w:asciiTheme="minorHAnsi" w:hAnsiTheme="minorHAnsi" w:cstheme="minorHAnsi"/>
          <w:lang w:val="cs-CZ"/>
        </w:rPr>
        <w:t xml:space="preserve">Zadavatel požaduje po účastníkovi, aby jím použitá osvětlovací tělesa splňovala všechny legislativně závazné požadavky dané platnou legislativou ČR a požadavky ČSN z hlediska bezpečnosti provozu osvětlovací soustavy a z hlediska vlivu osvětlovací soustavy na elektrickou síť. </w:t>
      </w:r>
      <w:r w:rsidRPr="00A71A8E">
        <w:rPr>
          <w:rFonts w:asciiTheme="minorHAnsi" w:hAnsiTheme="minorHAnsi" w:cstheme="minorHAnsi"/>
          <w:b/>
          <w:lang w:val="cs-CZ"/>
        </w:rPr>
        <w:t>Příloha</w:t>
      </w:r>
      <w:r w:rsidR="00867BAB">
        <w:rPr>
          <w:rFonts w:asciiTheme="minorHAnsi" w:hAnsiTheme="minorHAnsi" w:cstheme="minorHAnsi"/>
          <w:b/>
          <w:lang w:val="cs-CZ"/>
        </w:rPr>
        <w:t xml:space="preserve"> ZD</w:t>
      </w:r>
      <w:r w:rsidRPr="00A71A8E">
        <w:rPr>
          <w:rFonts w:asciiTheme="minorHAnsi" w:hAnsiTheme="minorHAnsi" w:cstheme="minorHAnsi"/>
          <w:b/>
          <w:lang w:val="cs-CZ"/>
        </w:rPr>
        <w:t xml:space="preserve"> č.</w:t>
      </w:r>
      <w:r w:rsidR="00867BAB">
        <w:rPr>
          <w:rFonts w:asciiTheme="minorHAnsi" w:hAnsiTheme="minorHAnsi" w:cstheme="minorHAnsi"/>
          <w:b/>
          <w:lang w:val="cs-CZ"/>
        </w:rPr>
        <w:t xml:space="preserve"> </w:t>
      </w:r>
      <w:r w:rsidRPr="00A71A8E">
        <w:rPr>
          <w:rFonts w:asciiTheme="minorHAnsi" w:hAnsiTheme="minorHAnsi" w:cstheme="minorHAnsi"/>
          <w:b/>
          <w:lang w:val="cs-CZ"/>
        </w:rPr>
        <w:t xml:space="preserve">7 </w:t>
      </w:r>
      <w:r w:rsidRPr="00A71A8E">
        <w:rPr>
          <w:rFonts w:asciiTheme="minorHAnsi" w:hAnsiTheme="minorHAnsi" w:cstheme="minorHAnsi"/>
          <w:lang w:val="cs-CZ"/>
        </w:rPr>
        <w:t xml:space="preserve">uvádí závazné technické požadavky zadavatele na svítidla pro venkovní osvětlení. Pokud zadavatel požaduje parametry svítidel odlišně od Standardů pro veřejné osvětlení </w:t>
      </w:r>
      <w:r w:rsidRPr="00625C5C">
        <w:rPr>
          <w:rFonts w:asciiTheme="minorHAnsi" w:hAnsiTheme="minorHAnsi" w:cstheme="minorHAnsi"/>
          <w:lang w:val="cs-CZ"/>
        </w:rPr>
        <w:t xml:space="preserve">města </w:t>
      </w:r>
      <w:r w:rsidR="00C5649E" w:rsidRPr="00625C5C">
        <w:rPr>
          <w:rFonts w:asciiTheme="minorHAnsi" w:hAnsiTheme="minorHAnsi" w:cstheme="minorHAnsi"/>
          <w:lang w:val="cs-CZ"/>
        </w:rPr>
        <w:t xml:space="preserve">Šumperka, </w:t>
      </w:r>
      <w:r w:rsidRPr="00A71A8E">
        <w:rPr>
          <w:rFonts w:asciiTheme="minorHAnsi" w:hAnsiTheme="minorHAnsi" w:cstheme="minorHAnsi"/>
          <w:lang w:val="cs-CZ"/>
        </w:rPr>
        <w:t xml:space="preserve">jsou závazné parametry dle Přílohy </w:t>
      </w:r>
      <w:r w:rsidR="00867BAB">
        <w:rPr>
          <w:rFonts w:asciiTheme="minorHAnsi" w:hAnsiTheme="minorHAnsi" w:cstheme="minorHAnsi"/>
          <w:lang w:val="cs-CZ"/>
        </w:rPr>
        <w:t>ZD</w:t>
      </w:r>
      <w:r w:rsidRPr="00A71A8E">
        <w:rPr>
          <w:rFonts w:asciiTheme="minorHAnsi" w:hAnsiTheme="minorHAnsi" w:cstheme="minorHAnsi"/>
          <w:lang w:val="cs-CZ"/>
        </w:rPr>
        <w:t xml:space="preserve"> č. 7.  </w:t>
      </w:r>
    </w:p>
    <w:p w14:paraId="5B96D877" w14:textId="77777777" w:rsidR="009239DC" w:rsidRPr="00A71A8E" w:rsidRDefault="009239DC" w:rsidP="009239DC">
      <w:pPr>
        <w:pStyle w:val="Zkladntext"/>
        <w:spacing w:line="360" w:lineRule="auto"/>
        <w:ind w:left="116" w:right="113"/>
        <w:jc w:val="both"/>
        <w:rPr>
          <w:rFonts w:asciiTheme="minorHAnsi" w:hAnsiTheme="minorHAnsi" w:cstheme="minorHAnsi"/>
          <w:lang w:val="cs-CZ"/>
        </w:rPr>
      </w:pPr>
    </w:p>
    <w:p w14:paraId="44FB2A5E" w14:textId="77777777" w:rsidR="009239DC" w:rsidRPr="00A71A8E" w:rsidRDefault="009239DC" w:rsidP="009239DC">
      <w:pPr>
        <w:pStyle w:val="Zkladntext"/>
        <w:spacing w:line="360" w:lineRule="auto"/>
        <w:ind w:left="0" w:right="113"/>
        <w:jc w:val="both"/>
        <w:rPr>
          <w:rFonts w:asciiTheme="minorHAnsi" w:hAnsiTheme="minorHAnsi" w:cstheme="minorHAnsi"/>
          <w:lang w:val="cs-CZ"/>
        </w:rPr>
      </w:pPr>
      <w:r w:rsidRPr="00A71A8E">
        <w:rPr>
          <w:rFonts w:asciiTheme="minorHAnsi" w:hAnsiTheme="minorHAnsi" w:cstheme="minorHAnsi"/>
          <w:lang w:val="cs-CZ"/>
        </w:rPr>
        <w:t>Zadavatel požaduje svítidla primárně navržená pro osazení deskou plošných spojů s LED čipy a čočkami.</w:t>
      </w:r>
      <w:r w:rsidRPr="00A71A8E">
        <w:rPr>
          <w:lang w:val="cs-CZ"/>
        </w:rPr>
        <w:t xml:space="preserve"> </w:t>
      </w:r>
    </w:p>
    <w:p w14:paraId="5F66B732" w14:textId="3CBAD98B" w:rsidR="009239DC" w:rsidRPr="00A71A8E" w:rsidRDefault="009239DC" w:rsidP="009239DC">
      <w:pPr>
        <w:pStyle w:val="Odstavecstyl"/>
        <w:rPr>
          <w:rFonts w:asciiTheme="minorHAnsi" w:hAnsiTheme="minorHAnsi" w:cstheme="minorHAnsi"/>
          <w:sz w:val="22"/>
          <w:szCs w:val="22"/>
        </w:rPr>
      </w:pPr>
      <w:r w:rsidRPr="00A71A8E">
        <w:rPr>
          <w:rFonts w:asciiTheme="minorHAnsi" w:hAnsiTheme="minorHAnsi" w:cstheme="minorHAnsi"/>
          <w:sz w:val="22"/>
          <w:szCs w:val="22"/>
        </w:rPr>
        <w:t>Parametry stanovené přílohou</w:t>
      </w:r>
      <w:r w:rsidR="008F2036">
        <w:rPr>
          <w:rFonts w:asciiTheme="minorHAnsi" w:hAnsiTheme="minorHAnsi" w:cstheme="minorHAnsi"/>
          <w:sz w:val="22"/>
          <w:szCs w:val="22"/>
        </w:rPr>
        <w:t xml:space="preserve"> ZD</w:t>
      </w:r>
      <w:r w:rsidRPr="00A71A8E">
        <w:rPr>
          <w:rFonts w:asciiTheme="minorHAnsi" w:hAnsiTheme="minorHAnsi" w:cstheme="minorHAnsi"/>
          <w:sz w:val="22"/>
          <w:szCs w:val="22"/>
        </w:rPr>
        <w:t xml:space="preserve"> č.</w:t>
      </w:r>
      <w:r w:rsidR="008F2036">
        <w:rPr>
          <w:rFonts w:asciiTheme="minorHAnsi" w:hAnsiTheme="minorHAnsi" w:cstheme="minorHAnsi"/>
          <w:sz w:val="22"/>
          <w:szCs w:val="22"/>
        </w:rPr>
        <w:t xml:space="preserve"> </w:t>
      </w:r>
      <w:r w:rsidRPr="00A71A8E">
        <w:rPr>
          <w:rFonts w:asciiTheme="minorHAnsi" w:hAnsiTheme="minorHAnsi" w:cstheme="minorHAnsi"/>
          <w:sz w:val="22"/>
          <w:szCs w:val="22"/>
        </w:rPr>
        <w:t>7 prokáže účastník katalogovým listem svítidla, kde budou uvedeny jednotlivé parametry</w:t>
      </w:r>
      <w:bookmarkStart w:id="0" w:name="_Hlk507507454"/>
      <w:r w:rsidRPr="00A71A8E">
        <w:rPr>
          <w:rFonts w:asciiTheme="minorHAnsi" w:hAnsiTheme="minorHAnsi" w:cstheme="minorHAnsi"/>
          <w:sz w:val="22"/>
          <w:szCs w:val="22"/>
        </w:rPr>
        <w:t>. Údaje vyplněné v</w:t>
      </w:r>
      <w:r w:rsidR="008F2036">
        <w:rPr>
          <w:rFonts w:asciiTheme="minorHAnsi" w:hAnsiTheme="minorHAnsi" w:cstheme="minorHAnsi"/>
          <w:sz w:val="22"/>
          <w:szCs w:val="22"/>
        </w:rPr>
        <w:t> </w:t>
      </w:r>
      <w:r w:rsidRPr="00A71A8E">
        <w:rPr>
          <w:rFonts w:asciiTheme="minorHAnsi" w:hAnsiTheme="minorHAnsi" w:cstheme="minorHAnsi"/>
          <w:sz w:val="22"/>
          <w:szCs w:val="22"/>
        </w:rPr>
        <w:t>příloze</w:t>
      </w:r>
      <w:r w:rsidR="008F2036">
        <w:rPr>
          <w:rFonts w:asciiTheme="minorHAnsi" w:hAnsiTheme="minorHAnsi" w:cstheme="minorHAnsi"/>
          <w:sz w:val="22"/>
          <w:szCs w:val="22"/>
        </w:rPr>
        <w:t xml:space="preserve"> ZD</w:t>
      </w:r>
      <w:r w:rsidRPr="00A71A8E">
        <w:rPr>
          <w:rFonts w:asciiTheme="minorHAnsi" w:hAnsiTheme="minorHAnsi" w:cstheme="minorHAnsi"/>
          <w:sz w:val="22"/>
          <w:szCs w:val="22"/>
        </w:rPr>
        <w:t xml:space="preserve"> č.7 musí korespondovat s předloženým katalogovým listem a štítkem předloženého vzorku svítidla. Nesoulad technických parametrů mezi katalogovým listem a Technickou specifikací</w:t>
      </w:r>
      <w:r w:rsidR="00776063">
        <w:rPr>
          <w:rFonts w:asciiTheme="minorHAnsi" w:hAnsiTheme="minorHAnsi" w:cstheme="minorHAnsi"/>
          <w:sz w:val="22"/>
          <w:szCs w:val="22"/>
        </w:rPr>
        <w:t xml:space="preserve"> svítidel</w:t>
      </w:r>
      <w:r w:rsidRPr="00A71A8E">
        <w:rPr>
          <w:rFonts w:asciiTheme="minorHAnsi" w:hAnsiTheme="minorHAnsi" w:cstheme="minorHAnsi"/>
          <w:sz w:val="22"/>
          <w:szCs w:val="22"/>
        </w:rPr>
        <w:t xml:space="preserve"> (Příloha</w:t>
      </w:r>
      <w:r w:rsidR="008F2036">
        <w:rPr>
          <w:rFonts w:asciiTheme="minorHAnsi" w:hAnsiTheme="minorHAnsi" w:cstheme="minorHAnsi"/>
          <w:sz w:val="22"/>
          <w:szCs w:val="22"/>
        </w:rPr>
        <w:t xml:space="preserve"> ZD</w:t>
      </w:r>
      <w:r w:rsidRPr="00A71A8E">
        <w:rPr>
          <w:rFonts w:asciiTheme="minorHAnsi" w:hAnsiTheme="minorHAnsi" w:cstheme="minorHAnsi"/>
          <w:sz w:val="22"/>
          <w:szCs w:val="22"/>
        </w:rPr>
        <w:t xml:space="preserve"> č. 7) bude vnímán jako nesplnění zadávacích podmínek účastníkem. </w:t>
      </w:r>
    </w:p>
    <w:p w14:paraId="028ED7F4" w14:textId="77777777" w:rsidR="009239DC" w:rsidRPr="00A71A8E" w:rsidRDefault="009239DC" w:rsidP="009239DC">
      <w:pPr>
        <w:pStyle w:val="Odstavecstyl"/>
        <w:rPr>
          <w:rFonts w:asciiTheme="minorHAnsi" w:hAnsiTheme="minorHAnsi" w:cstheme="minorHAnsi"/>
          <w:sz w:val="22"/>
          <w:szCs w:val="22"/>
        </w:rPr>
      </w:pPr>
    </w:p>
    <w:p w14:paraId="3CFF5680" w14:textId="77777777" w:rsidR="009239DC" w:rsidRPr="00A71A8E" w:rsidRDefault="009239DC" w:rsidP="009239DC">
      <w:pPr>
        <w:pStyle w:val="Odstavecstyl"/>
        <w:rPr>
          <w:rFonts w:asciiTheme="minorHAnsi" w:hAnsiTheme="minorHAnsi" w:cstheme="minorHAnsi"/>
          <w:sz w:val="22"/>
          <w:szCs w:val="22"/>
        </w:rPr>
      </w:pPr>
      <w:r w:rsidRPr="00A71A8E">
        <w:rPr>
          <w:rFonts w:asciiTheme="minorHAnsi" w:hAnsiTheme="minorHAnsi" w:cstheme="minorHAnsi"/>
          <w:sz w:val="22"/>
          <w:szCs w:val="22"/>
        </w:rPr>
        <w:t>Ke katalogovému listu navrženého svítidla se povinně předkládá související dokumentace v rozsahu:</w:t>
      </w:r>
    </w:p>
    <w:p w14:paraId="2AA64272" w14:textId="77777777" w:rsidR="009239DC" w:rsidRPr="00A71A8E" w:rsidRDefault="009239DC" w:rsidP="009239DC">
      <w:pPr>
        <w:pStyle w:val="Odstavecstyl"/>
        <w:numPr>
          <w:ilvl w:val="0"/>
          <w:numId w:val="20"/>
        </w:numPr>
        <w:rPr>
          <w:rFonts w:asciiTheme="minorHAnsi" w:hAnsiTheme="minorHAnsi" w:cstheme="minorHAnsi"/>
          <w:sz w:val="22"/>
          <w:szCs w:val="22"/>
        </w:rPr>
      </w:pPr>
      <w:r w:rsidRPr="00A71A8E">
        <w:rPr>
          <w:rFonts w:asciiTheme="minorHAnsi" w:hAnsiTheme="minorHAnsi" w:cstheme="minorHAnsi"/>
          <w:sz w:val="22"/>
          <w:szCs w:val="22"/>
        </w:rPr>
        <w:t xml:space="preserve">deklarace o shodě (CE), </w:t>
      </w:r>
    </w:p>
    <w:p w14:paraId="474FE701" w14:textId="77777777" w:rsidR="009239DC" w:rsidRPr="00A71A8E" w:rsidRDefault="009239DC" w:rsidP="009239DC">
      <w:pPr>
        <w:pStyle w:val="Odstavecstyl"/>
        <w:numPr>
          <w:ilvl w:val="0"/>
          <w:numId w:val="20"/>
        </w:numPr>
        <w:rPr>
          <w:rFonts w:asciiTheme="minorHAnsi" w:hAnsiTheme="minorHAnsi" w:cstheme="minorHAnsi"/>
          <w:sz w:val="22"/>
          <w:szCs w:val="22"/>
        </w:rPr>
      </w:pPr>
      <w:r w:rsidRPr="00A71A8E">
        <w:rPr>
          <w:rFonts w:asciiTheme="minorHAnsi" w:hAnsiTheme="minorHAnsi" w:cstheme="minorHAnsi"/>
          <w:sz w:val="22"/>
          <w:szCs w:val="22"/>
        </w:rPr>
        <w:t xml:space="preserve">deklarace o elektromagnetické kompatibilitě (EMC), </w:t>
      </w:r>
    </w:p>
    <w:p w14:paraId="5F5DF82A" w14:textId="77777777" w:rsidR="009239DC" w:rsidRPr="00A71A8E" w:rsidRDefault="009239DC" w:rsidP="009239DC">
      <w:pPr>
        <w:pStyle w:val="Odstavecstyl"/>
        <w:numPr>
          <w:ilvl w:val="0"/>
          <w:numId w:val="20"/>
        </w:numPr>
        <w:rPr>
          <w:rFonts w:asciiTheme="minorHAnsi" w:hAnsiTheme="minorHAnsi" w:cstheme="minorHAnsi"/>
          <w:sz w:val="22"/>
          <w:szCs w:val="22"/>
        </w:rPr>
      </w:pPr>
      <w:r w:rsidRPr="00A71A8E">
        <w:rPr>
          <w:rFonts w:asciiTheme="minorHAnsi" w:hAnsiTheme="minorHAnsi" w:cstheme="minorHAnsi"/>
          <w:sz w:val="22"/>
          <w:szCs w:val="22"/>
        </w:rPr>
        <w:t>certifikát ENEC,</w:t>
      </w:r>
    </w:p>
    <w:p w14:paraId="33064531" w14:textId="77777777" w:rsidR="009239DC" w:rsidRDefault="009239DC" w:rsidP="009239DC">
      <w:pPr>
        <w:pStyle w:val="Odstavecstyl"/>
        <w:numPr>
          <w:ilvl w:val="0"/>
          <w:numId w:val="20"/>
        </w:numPr>
        <w:rPr>
          <w:rFonts w:asciiTheme="minorHAnsi" w:hAnsiTheme="minorHAnsi" w:cstheme="minorHAnsi"/>
          <w:sz w:val="22"/>
          <w:szCs w:val="22"/>
        </w:rPr>
      </w:pPr>
      <w:r w:rsidRPr="00A71A8E">
        <w:rPr>
          <w:rFonts w:asciiTheme="minorHAnsi" w:hAnsiTheme="minorHAnsi" w:cstheme="minorHAnsi"/>
          <w:sz w:val="22"/>
          <w:szCs w:val="22"/>
        </w:rPr>
        <w:t>certifikát ENEC+</w:t>
      </w:r>
    </w:p>
    <w:p w14:paraId="228AE3EE" w14:textId="2AB20809" w:rsidR="00BA0752" w:rsidRPr="00A71A8E" w:rsidRDefault="00BA0752" w:rsidP="009239DC">
      <w:pPr>
        <w:pStyle w:val="Odstavecstyl"/>
        <w:numPr>
          <w:ilvl w:val="0"/>
          <w:numId w:val="20"/>
        </w:numPr>
        <w:rPr>
          <w:rFonts w:asciiTheme="minorHAnsi" w:hAnsiTheme="minorHAnsi" w:cstheme="minorHAnsi"/>
          <w:sz w:val="22"/>
          <w:szCs w:val="22"/>
        </w:rPr>
      </w:pPr>
      <w:r>
        <w:rPr>
          <w:rFonts w:asciiTheme="minorHAnsi" w:hAnsiTheme="minorHAnsi" w:cstheme="minorHAnsi"/>
          <w:sz w:val="22"/>
          <w:szCs w:val="22"/>
        </w:rPr>
        <w:t>vibrační test</w:t>
      </w:r>
    </w:p>
    <w:p w14:paraId="12992BCA" w14:textId="77777777" w:rsidR="009239DC" w:rsidRPr="00A71A8E" w:rsidRDefault="009239DC" w:rsidP="009239DC">
      <w:pPr>
        <w:pStyle w:val="Odstavecstyl"/>
        <w:ind w:left="720"/>
        <w:rPr>
          <w:rFonts w:asciiTheme="minorHAnsi" w:hAnsiTheme="minorHAnsi" w:cstheme="minorHAnsi"/>
          <w:sz w:val="22"/>
          <w:szCs w:val="22"/>
        </w:rPr>
      </w:pPr>
    </w:p>
    <w:p w14:paraId="1931A6B2" w14:textId="77777777" w:rsidR="009239DC" w:rsidRPr="00A71A8E" w:rsidRDefault="009239DC" w:rsidP="009239DC">
      <w:pPr>
        <w:pStyle w:val="Odstavecstyl"/>
        <w:rPr>
          <w:rFonts w:asciiTheme="minorHAnsi" w:hAnsiTheme="minorHAnsi" w:cstheme="minorHAnsi"/>
          <w:sz w:val="22"/>
          <w:szCs w:val="22"/>
        </w:rPr>
      </w:pPr>
      <w:r w:rsidRPr="00A71A8E">
        <w:rPr>
          <w:rFonts w:asciiTheme="minorHAnsi" w:hAnsiTheme="minorHAnsi" w:cstheme="minorHAnsi"/>
          <w:sz w:val="22"/>
          <w:szCs w:val="22"/>
        </w:rPr>
        <w:t>Všechny výše požadované dokumenty je účastník povinen předložit již při podání nabídky. Pro všechna silniční svítidla je vyžadován stejný design (pro různé příkonové varianty).</w:t>
      </w:r>
    </w:p>
    <w:p w14:paraId="20D4CAFD" w14:textId="77777777" w:rsidR="009239DC" w:rsidRPr="00A71A8E" w:rsidRDefault="009239DC" w:rsidP="009239DC">
      <w:pPr>
        <w:jc w:val="both"/>
        <w:rPr>
          <w:rFonts w:cstheme="minorHAnsi"/>
          <w:color w:val="000000"/>
        </w:rPr>
      </w:pPr>
    </w:p>
    <w:bookmarkEnd w:id="0"/>
    <w:p w14:paraId="304D95F5" w14:textId="598508BB" w:rsidR="009A3051" w:rsidRDefault="009A3051">
      <w:pPr>
        <w:spacing w:after="160" w:line="259" w:lineRule="auto"/>
      </w:pPr>
      <w:r>
        <w:br w:type="page"/>
      </w:r>
    </w:p>
    <w:p w14:paraId="345475D8" w14:textId="4A87DF0E" w:rsidR="009239DC" w:rsidRPr="00AE488A" w:rsidRDefault="009A3051" w:rsidP="009239DC">
      <w:pPr>
        <w:keepNext/>
        <w:rPr>
          <w:b/>
          <w:bCs/>
          <w:u w:val="single"/>
        </w:rPr>
      </w:pPr>
      <w:r w:rsidRPr="00AE488A">
        <w:rPr>
          <w:b/>
          <w:bCs/>
          <w:u w:val="single"/>
        </w:rPr>
        <w:lastRenderedPageBreak/>
        <w:t>Rozsah zakázky</w:t>
      </w:r>
    </w:p>
    <w:p w14:paraId="7B057BAD" w14:textId="77777777" w:rsidR="009239DC" w:rsidRPr="00AE488A" w:rsidRDefault="009239DC" w:rsidP="009239DC">
      <w:pPr>
        <w:keepNext/>
      </w:pPr>
    </w:p>
    <w:p w14:paraId="1AC97430" w14:textId="3B6CF7C1" w:rsidR="009A3051" w:rsidRPr="00AE488A" w:rsidRDefault="009A3051" w:rsidP="009A3051">
      <w:pPr>
        <w:pStyle w:val="Bezmezer"/>
        <w:spacing w:line="360" w:lineRule="auto"/>
        <w:jc w:val="both"/>
        <w:rPr>
          <w:rFonts w:eastAsia="Times New Roman"/>
          <w:sz w:val="22"/>
          <w:szCs w:val="22"/>
        </w:rPr>
      </w:pPr>
      <w:r w:rsidRPr="00AE488A">
        <w:rPr>
          <w:rFonts w:eastAsia="Times New Roman"/>
          <w:sz w:val="22"/>
          <w:szCs w:val="22"/>
        </w:rPr>
        <w:t xml:space="preserve">Zadavatel požaduje provést po účastníkovi výměnu svítidel dle </w:t>
      </w:r>
      <w:r w:rsidR="008F2036" w:rsidRPr="008F2036">
        <w:rPr>
          <w:rFonts w:eastAsia="Times New Roman"/>
          <w:b/>
          <w:bCs/>
          <w:sz w:val="22"/>
          <w:szCs w:val="22"/>
        </w:rPr>
        <w:t>P</w:t>
      </w:r>
      <w:r w:rsidRPr="008F2036">
        <w:rPr>
          <w:rFonts w:eastAsia="Times New Roman"/>
          <w:b/>
          <w:bCs/>
          <w:sz w:val="22"/>
          <w:szCs w:val="22"/>
        </w:rPr>
        <w:t>řílohy</w:t>
      </w:r>
      <w:r w:rsidRPr="00AE488A">
        <w:rPr>
          <w:rFonts w:eastAsia="Times New Roman"/>
          <w:sz w:val="22"/>
          <w:szCs w:val="22"/>
        </w:rPr>
        <w:t xml:space="preserve"> </w:t>
      </w:r>
      <w:r w:rsidR="008F2036">
        <w:rPr>
          <w:rFonts w:eastAsia="Times New Roman"/>
          <w:b/>
          <w:bCs/>
          <w:sz w:val="22"/>
          <w:szCs w:val="22"/>
        </w:rPr>
        <w:t>ZD č. 1c</w:t>
      </w:r>
      <w:r w:rsidRPr="00AE488A">
        <w:rPr>
          <w:rFonts w:eastAsia="Times New Roman"/>
          <w:sz w:val="22"/>
          <w:szCs w:val="22"/>
        </w:rPr>
        <w:t xml:space="preserve"> tak, aby výsledná instalace zajistila splnění požadavků normy ČSN EN 13 201 a ČSN EN 12464-2. Rozsah výměny je graficky znázorněn v</w:t>
      </w:r>
      <w:r w:rsidR="00B707DF">
        <w:rPr>
          <w:rFonts w:eastAsia="Times New Roman"/>
          <w:sz w:val="22"/>
          <w:szCs w:val="22"/>
        </w:rPr>
        <w:t> </w:t>
      </w:r>
      <w:r w:rsidR="00B707DF" w:rsidRPr="00B707DF">
        <w:rPr>
          <w:rFonts w:eastAsia="Times New Roman"/>
          <w:b/>
          <w:bCs/>
          <w:sz w:val="22"/>
          <w:szCs w:val="22"/>
        </w:rPr>
        <w:t>P</w:t>
      </w:r>
      <w:r w:rsidRPr="00B707DF">
        <w:rPr>
          <w:rFonts w:eastAsia="Times New Roman"/>
          <w:b/>
          <w:bCs/>
          <w:sz w:val="22"/>
          <w:szCs w:val="22"/>
        </w:rPr>
        <w:t>říloze</w:t>
      </w:r>
      <w:r w:rsidR="00B707DF" w:rsidRPr="00B707DF">
        <w:rPr>
          <w:rFonts w:eastAsia="Times New Roman"/>
          <w:b/>
          <w:bCs/>
          <w:sz w:val="22"/>
          <w:szCs w:val="22"/>
        </w:rPr>
        <w:t xml:space="preserve"> ZD č. 1</w:t>
      </w:r>
      <w:r w:rsidR="007238C0">
        <w:rPr>
          <w:rFonts w:eastAsia="Times New Roman"/>
          <w:b/>
          <w:bCs/>
          <w:sz w:val="22"/>
          <w:szCs w:val="22"/>
        </w:rPr>
        <w:t>b</w:t>
      </w:r>
      <w:r w:rsidRPr="00AE488A">
        <w:rPr>
          <w:rFonts w:eastAsia="Times New Roman"/>
          <w:b/>
          <w:bCs/>
          <w:sz w:val="22"/>
          <w:szCs w:val="22"/>
        </w:rPr>
        <w:t>.</w:t>
      </w:r>
    </w:p>
    <w:p w14:paraId="3D7B2802" w14:textId="77777777" w:rsidR="009A3051" w:rsidRPr="00AE488A" w:rsidRDefault="009A3051" w:rsidP="009A3051">
      <w:pPr>
        <w:spacing w:line="360" w:lineRule="auto"/>
        <w:rPr>
          <w:rFonts w:eastAsia="Times New Roman" w:cstheme="minorHAnsi"/>
          <w:b/>
          <w:lang w:eastAsia="cs-CZ"/>
        </w:rPr>
      </w:pPr>
    </w:p>
    <w:p w14:paraId="38BAB503" w14:textId="221EA49F" w:rsidR="009A3051" w:rsidRPr="00AE488A" w:rsidRDefault="009A3051" w:rsidP="009A3051">
      <w:pPr>
        <w:spacing w:line="360" w:lineRule="auto"/>
        <w:rPr>
          <w:rFonts w:eastAsia="Times New Roman" w:cstheme="minorHAnsi"/>
          <w:b/>
          <w:u w:val="single"/>
          <w:lang w:eastAsia="cs-CZ"/>
        </w:rPr>
      </w:pPr>
      <w:r w:rsidRPr="00AE488A">
        <w:rPr>
          <w:rFonts w:eastAsia="Times New Roman" w:cstheme="minorHAnsi"/>
          <w:b/>
          <w:u w:val="single"/>
          <w:lang w:eastAsia="cs-CZ"/>
        </w:rPr>
        <w:t>Zatřídění komunikací do tříd osvětlení</w:t>
      </w:r>
    </w:p>
    <w:p w14:paraId="6DBEF739" w14:textId="641C6214" w:rsidR="009A3051" w:rsidRPr="003630A4" w:rsidRDefault="009A3051" w:rsidP="009A3051">
      <w:pPr>
        <w:spacing w:line="360" w:lineRule="auto"/>
        <w:jc w:val="both"/>
        <w:rPr>
          <w:rFonts w:eastAsia="Times New Roman" w:cstheme="minorHAnsi"/>
          <w:color w:val="FF0000"/>
          <w:lang w:eastAsia="cs-CZ"/>
        </w:rPr>
      </w:pPr>
      <w:r w:rsidRPr="00AE488A">
        <w:t xml:space="preserve">Je součástí </w:t>
      </w:r>
      <w:r w:rsidR="00B164A1" w:rsidRPr="00B164A1">
        <w:rPr>
          <w:b/>
          <w:bCs/>
        </w:rPr>
        <w:t>P</w:t>
      </w:r>
      <w:r w:rsidRPr="00B164A1">
        <w:rPr>
          <w:b/>
          <w:bCs/>
        </w:rPr>
        <w:t>řílohy</w:t>
      </w:r>
      <w:r w:rsidR="00B164A1" w:rsidRPr="00B164A1">
        <w:rPr>
          <w:b/>
          <w:bCs/>
        </w:rPr>
        <w:t xml:space="preserve"> ZD č. 1d</w:t>
      </w:r>
      <w:r w:rsidR="00B164A1">
        <w:t>.</w:t>
      </w:r>
    </w:p>
    <w:p w14:paraId="11D7504C" w14:textId="77777777" w:rsidR="00AE488A" w:rsidRPr="00AE488A" w:rsidRDefault="00AE488A" w:rsidP="009A3051">
      <w:pPr>
        <w:pStyle w:val="Oddlstyl"/>
        <w:spacing w:after="144" w:line="360" w:lineRule="auto"/>
        <w:rPr>
          <w:rFonts w:cstheme="minorHAnsi"/>
          <w:i/>
          <w:iCs/>
          <w:noProof w:val="0"/>
          <w:sz w:val="22"/>
        </w:rPr>
      </w:pPr>
    </w:p>
    <w:p w14:paraId="521F3C51" w14:textId="0C9E3A39" w:rsidR="009A3051" w:rsidRPr="00AE488A" w:rsidRDefault="009A3051" w:rsidP="009A3051">
      <w:pPr>
        <w:pStyle w:val="Oddlstyl"/>
        <w:spacing w:after="144" w:line="360" w:lineRule="auto"/>
        <w:rPr>
          <w:rFonts w:cstheme="minorHAnsi"/>
          <w:noProof w:val="0"/>
          <w:sz w:val="22"/>
        </w:rPr>
      </w:pPr>
      <w:r w:rsidRPr="00AE488A">
        <w:rPr>
          <w:rFonts w:cstheme="minorHAnsi"/>
          <w:noProof w:val="0"/>
          <w:sz w:val="22"/>
        </w:rPr>
        <w:t>Instalovaný příkon nových svítidel</w:t>
      </w:r>
    </w:p>
    <w:p w14:paraId="1359DDF3" w14:textId="1557A274" w:rsidR="009A3051" w:rsidRPr="00AE488A" w:rsidRDefault="009A3051" w:rsidP="009A3051">
      <w:pPr>
        <w:spacing w:line="360" w:lineRule="auto"/>
        <w:jc w:val="both"/>
        <w:rPr>
          <w:rFonts w:eastAsia="Times New Roman" w:cstheme="minorHAnsi"/>
          <w:lang w:eastAsia="cs-CZ"/>
        </w:rPr>
      </w:pPr>
      <w:r w:rsidRPr="00AE488A">
        <w:rPr>
          <w:rFonts w:eastAsia="Times New Roman" w:cstheme="minorHAnsi"/>
          <w:lang w:eastAsia="cs-CZ"/>
        </w:rPr>
        <w:t>U nových LED svítidel je navržen harmonogram stmívání (Tabulk</w:t>
      </w:r>
      <w:r w:rsidR="00AB22FB">
        <w:rPr>
          <w:rFonts w:eastAsia="Times New Roman" w:cstheme="minorHAnsi"/>
          <w:lang w:eastAsia="cs-CZ"/>
        </w:rPr>
        <w:t>y</w:t>
      </w:r>
      <w:r w:rsidRPr="00AE488A">
        <w:rPr>
          <w:rFonts w:eastAsia="Times New Roman" w:cstheme="minorHAnsi"/>
          <w:lang w:eastAsia="cs-CZ"/>
        </w:rPr>
        <w:t xml:space="preserve"> 1</w:t>
      </w:r>
      <w:r w:rsidR="00AB22FB">
        <w:rPr>
          <w:rFonts w:eastAsia="Times New Roman" w:cstheme="minorHAnsi"/>
          <w:lang w:eastAsia="cs-CZ"/>
        </w:rPr>
        <w:t xml:space="preserve"> a 2</w:t>
      </w:r>
      <w:r w:rsidRPr="00AE488A">
        <w:rPr>
          <w:rFonts w:eastAsia="Times New Roman" w:cstheme="minorHAnsi"/>
          <w:lang w:eastAsia="cs-CZ"/>
        </w:rPr>
        <w:t xml:space="preserve">). Instalovaný příkon u nově navržených svítidel nesmí překročit hodnotu </w:t>
      </w:r>
      <w:r w:rsidR="00332769" w:rsidRPr="00332769">
        <w:rPr>
          <w:rFonts w:eastAsia="Times New Roman" w:cstheme="minorHAnsi"/>
          <w:b/>
          <w:bCs/>
          <w:lang w:eastAsia="cs-CZ"/>
        </w:rPr>
        <w:t>20,931</w:t>
      </w:r>
      <w:r w:rsidRPr="009555E5">
        <w:rPr>
          <w:rFonts w:eastAsia="Times New Roman" w:cstheme="minorHAnsi"/>
          <w:b/>
          <w:bCs/>
          <w:lang w:eastAsia="cs-CZ"/>
        </w:rPr>
        <w:t xml:space="preserve"> kW</w:t>
      </w:r>
      <w:r w:rsidRPr="00AE488A">
        <w:rPr>
          <w:rFonts w:eastAsia="Times New Roman" w:cstheme="minorHAnsi"/>
          <w:lang w:eastAsia="cs-CZ"/>
        </w:rPr>
        <w:t>. Hodnota nově instalovaného příkonu je požadována dle energetického posudku a nesmí být překročena.</w:t>
      </w:r>
    </w:p>
    <w:p w14:paraId="79A463AE" w14:textId="0421DA92" w:rsidR="009A3051" w:rsidRPr="00AE488A" w:rsidRDefault="009A3051" w:rsidP="009A3051">
      <w:pPr>
        <w:spacing w:line="360" w:lineRule="auto"/>
        <w:jc w:val="both"/>
        <w:rPr>
          <w:rFonts w:eastAsia="Times New Roman" w:cstheme="minorHAnsi"/>
          <w:lang w:eastAsia="cs-CZ"/>
        </w:rPr>
      </w:pPr>
      <w:r w:rsidRPr="00AE488A">
        <w:rPr>
          <w:rFonts w:eastAsia="Times New Roman" w:cstheme="minorHAnsi"/>
          <w:lang w:eastAsia="cs-CZ"/>
        </w:rPr>
        <w:t>Účastník vyplní prázdná žlutá políčka v</w:t>
      </w:r>
      <w:r w:rsidR="00393678">
        <w:rPr>
          <w:rFonts w:eastAsia="Times New Roman" w:cstheme="minorHAnsi"/>
          <w:lang w:eastAsia="cs-CZ"/>
        </w:rPr>
        <w:t> </w:t>
      </w:r>
      <w:r w:rsidR="00393678" w:rsidRPr="00393678">
        <w:rPr>
          <w:rFonts w:eastAsia="Times New Roman" w:cstheme="minorHAnsi"/>
          <w:b/>
          <w:bCs/>
          <w:lang w:eastAsia="cs-CZ"/>
        </w:rPr>
        <w:t>P</w:t>
      </w:r>
      <w:r w:rsidRPr="00393678">
        <w:rPr>
          <w:rFonts w:eastAsia="Times New Roman" w:cstheme="minorHAnsi"/>
          <w:b/>
          <w:bCs/>
          <w:lang w:eastAsia="cs-CZ"/>
        </w:rPr>
        <w:t>říloze</w:t>
      </w:r>
      <w:r w:rsidR="00393678" w:rsidRPr="00393678">
        <w:rPr>
          <w:rFonts w:eastAsia="Times New Roman" w:cstheme="minorHAnsi"/>
          <w:b/>
          <w:bCs/>
          <w:lang w:eastAsia="cs-CZ"/>
        </w:rPr>
        <w:t xml:space="preserve"> ZD</w:t>
      </w:r>
      <w:r w:rsidRPr="00393678">
        <w:rPr>
          <w:rFonts w:eastAsia="Times New Roman" w:cstheme="minorHAnsi"/>
          <w:b/>
          <w:bCs/>
          <w:lang w:eastAsia="cs-CZ"/>
        </w:rPr>
        <w:t xml:space="preserve"> č.</w:t>
      </w:r>
      <w:r w:rsidR="00393678" w:rsidRPr="00393678">
        <w:rPr>
          <w:rFonts w:eastAsia="Times New Roman" w:cstheme="minorHAnsi"/>
          <w:b/>
          <w:bCs/>
          <w:lang w:eastAsia="cs-CZ"/>
        </w:rPr>
        <w:t xml:space="preserve"> </w:t>
      </w:r>
      <w:r w:rsidRPr="00393678">
        <w:rPr>
          <w:rFonts w:eastAsia="Times New Roman" w:cstheme="minorHAnsi"/>
          <w:b/>
          <w:bCs/>
          <w:lang w:eastAsia="cs-CZ"/>
        </w:rPr>
        <w:t>8</w:t>
      </w:r>
      <w:r w:rsidR="00393678" w:rsidRPr="00393678">
        <w:rPr>
          <w:rFonts w:eastAsia="Times New Roman" w:cstheme="minorHAnsi"/>
          <w:b/>
          <w:bCs/>
          <w:lang w:eastAsia="cs-CZ"/>
        </w:rPr>
        <w:t xml:space="preserve"> -</w:t>
      </w:r>
      <w:r w:rsidRPr="00393678">
        <w:rPr>
          <w:rFonts w:eastAsia="Times New Roman" w:cstheme="minorHAnsi"/>
          <w:b/>
          <w:bCs/>
          <w:lang w:eastAsia="cs-CZ"/>
        </w:rPr>
        <w:t xml:space="preserve"> Specifikace svítidel</w:t>
      </w:r>
      <w:r w:rsidRPr="00AE488A">
        <w:rPr>
          <w:rFonts w:eastAsia="Times New Roman" w:cstheme="minorHAnsi"/>
          <w:lang w:eastAsia="cs-CZ"/>
        </w:rPr>
        <w:t>. Po vyplnění instalovaných příkonů, které účastníkovi vyjdou z jednotlivých světelně technických výpočt</w:t>
      </w:r>
      <w:r w:rsidR="00007309">
        <w:rPr>
          <w:rFonts w:eastAsia="Times New Roman" w:cstheme="minorHAnsi"/>
          <w:lang w:eastAsia="cs-CZ"/>
        </w:rPr>
        <w:t>ů</w:t>
      </w:r>
      <w:r w:rsidRPr="00AE488A">
        <w:rPr>
          <w:rFonts w:eastAsia="Times New Roman" w:cstheme="minorHAnsi"/>
          <w:lang w:eastAsia="cs-CZ"/>
        </w:rPr>
        <w:t>, doj</w:t>
      </w:r>
      <w:r w:rsidR="00007309">
        <w:rPr>
          <w:rFonts w:eastAsia="Times New Roman" w:cstheme="minorHAnsi"/>
          <w:lang w:eastAsia="cs-CZ"/>
        </w:rPr>
        <w:t>d</w:t>
      </w:r>
      <w:r w:rsidRPr="00AE488A">
        <w:rPr>
          <w:rFonts w:eastAsia="Times New Roman" w:cstheme="minorHAnsi"/>
          <w:lang w:eastAsia="cs-CZ"/>
        </w:rPr>
        <w:t xml:space="preserve">e k součtu celkového instalovaného příkonu. Tuto hodnotu poté účastník vyplní do </w:t>
      </w:r>
      <w:r w:rsidR="00332769" w:rsidRPr="00332769">
        <w:rPr>
          <w:rFonts w:eastAsia="Times New Roman" w:cstheme="minorHAnsi"/>
          <w:b/>
          <w:bCs/>
          <w:lang w:eastAsia="cs-CZ"/>
        </w:rPr>
        <w:t>P</w:t>
      </w:r>
      <w:r w:rsidRPr="00332769">
        <w:rPr>
          <w:rFonts w:eastAsia="Times New Roman" w:cstheme="minorHAnsi"/>
          <w:b/>
          <w:bCs/>
          <w:lang w:eastAsia="cs-CZ"/>
        </w:rPr>
        <w:t>řílohy</w:t>
      </w:r>
      <w:r w:rsidR="00332769" w:rsidRPr="00332769">
        <w:rPr>
          <w:rFonts w:eastAsia="Times New Roman" w:cstheme="minorHAnsi"/>
          <w:b/>
          <w:bCs/>
          <w:lang w:eastAsia="cs-CZ"/>
        </w:rPr>
        <w:t xml:space="preserve"> ZD</w:t>
      </w:r>
      <w:r w:rsidRPr="00332769">
        <w:rPr>
          <w:rFonts w:eastAsia="Times New Roman" w:cstheme="minorHAnsi"/>
          <w:b/>
          <w:bCs/>
          <w:lang w:eastAsia="cs-CZ"/>
        </w:rPr>
        <w:t xml:space="preserve"> č.</w:t>
      </w:r>
      <w:r w:rsidR="00332769" w:rsidRPr="00332769">
        <w:rPr>
          <w:rFonts w:eastAsia="Times New Roman" w:cstheme="minorHAnsi"/>
          <w:b/>
          <w:bCs/>
          <w:lang w:eastAsia="cs-CZ"/>
        </w:rPr>
        <w:t xml:space="preserve"> </w:t>
      </w:r>
      <w:r w:rsidRPr="00332769">
        <w:rPr>
          <w:rFonts w:eastAsia="Times New Roman" w:cstheme="minorHAnsi"/>
          <w:b/>
          <w:bCs/>
          <w:lang w:eastAsia="cs-CZ"/>
        </w:rPr>
        <w:t>2</w:t>
      </w:r>
      <w:r w:rsidR="00332769" w:rsidRPr="00332769">
        <w:rPr>
          <w:rFonts w:eastAsia="Times New Roman" w:cstheme="minorHAnsi"/>
          <w:b/>
          <w:bCs/>
          <w:lang w:eastAsia="cs-CZ"/>
        </w:rPr>
        <w:t xml:space="preserve"> -</w:t>
      </w:r>
      <w:r w:rsidRPr="00332769">
        <w:rPr>
          <w:rFonts w:eastAsia="Times New Roman" w:cstheme="minorHAnsi"/>
          <w:b/>
          <w:bCs/>
          <w:lang w:eastAsia="cs-CZ"/>
        </w:rPr>
        <w:t xml:space="preserve"> Krycí list</w:t>
      </w:r>
      <w:r w:rsidR="00332769" w:rsidRPr="00332769">
        <w:rPr>
          <w:rFonts w:eastAsia="Times New Roman" w:cstheme="minorHAnsi"/>
          <w:b/>
          <w:bCs/>
          <w:lang w:eastAsia="cs-CZ"/>
        </w:rPr>
        <w:t xml:space="preserve"> nabídky</w:t>
      </w:r>
      <w:r w:rsidRPr="00AE488A">
        <w:rPr>
          <w:rFonts w:eastAsia="Times New Roman" w:cstheme="minorHAnsi"/>
          <w:lang w:eastAsia="cs-CZ"/>
        </w:rPr>
        <w:t>.</w:t>
      </w:r>
    </w:p>
    <w:p w14:paraId="35FE13E7" w14:textId="77777777" w:rsidR="00E37D23" w:rsidRPr="00AE488A" w:rsidRDefault="00E37D23" w:rsidP="00195D07">
      <w:pPr>
        <w:spacing w:line="276" w:lineRule="auto"/>
        <w:jc w:val="both"/>
      </w:pPr>
    </w:p>
    <w:p w14:paraId="5D77AEA2" w14:textId="30463DE0" w:rsidR="00195D07" w:rsidRPr="00AE488A" w:rsidRDefault="00195D07" w:rsidP="00195D07">
      <w:pPr>
        <w:spacing w:line="360" w:lineRule="auto"/>
        <w:rPr>
          <w:b/>
          <w:bCs/>
          <w:u w:val="single"/>
        </w:rPr>
      </w:pPr>
      <w:r w:rsidRPr="00AE488A">
        <w:rPr>
          <w:b/>
          <w:bCs/>
          <w:u w:val="single"/>
        </w:rPr>
        <w:t>Počty svítidel</w:t>
      </w:r>
    </w:p>
    <w:p w14:paraId="68127951" w14:textId="77777777" w:rsidR="00EC36C6" w:rsidRPr="0096733F" w:rsidRDefault="00EC36C6" w:rsidP="00EC36C6">
      <w:pPr>
        <w:pStyle w:val="Odstavecseseznamem"/>
        <w:numPr>
          <w:ilvl w:val="0"/>
          <w:numId w:val="1"/>
        </w:numPr>
        <w:rPr>
          <w:b/>
          <w:bCs/>
        </w:rPr>
      </w:pPr>
      <w:r w:rsidRPr="004F6667">
        <w:rPr>
          <w:b/>
          <w:bCs/>
        </w:rPr>
        <w:t>Počet stávajících</w:t>
      </w:r>
      <w:r w:rsidRPr="004F6667">
        <w:t xml:space="preserve"> svítidel určených k demontáži a výměně: </w:t>
      </w:r>
      <w:r w:rsidRPr="0096733F">
        <w:rPr>
          <w:b/>
          <w:bCs/>
        </w:rPr>
        <w:t>1</w:t>
      </w:r>
      <w:r>
        <w:rPr>
          <w:b/>
          <w:bCs/>
        </w:rPr>
        <w:t>101</w:t>
      </w:r>
      <w:r w:rsidRPr="0096733F">
        <w:rPr>
          <w:b/>
          <w:bCs/>
        </w:rPr>
        <w:t xml:space="preserve"> ks</w:t>
      </w:r>
    </w:p>
    <w:p w14:paraId="27C5096B" w14:textId="77777777" w:rsidR="00EC36C6" w:rsidRPr="0096733F" w:rsidRDefault="00EC36C6" w:rsidP="00EC36C6">
      <w:pPr>
        <w:pStyle w:val="Odstavecseseznamem"/>
        <w:numPr>
          <w:ilvl w:val="0"/>
          <w:numId w:val="1"/>
        </w:numPr>
        <w:spacing w:after="0"/>
        <w:rPr>
          <w:b/>
          <w:bCs/>
        </w:rPr>
      </w:pPr>
      <w:r w:rsidRPr="004F6667">
        <w:rPr>
          <w:b/>
          <w:bCs/>
        </w:rPr>
        <w:t>Celkový počet nově</w:t>
      </w:r>
      <w:r w:rsidRPr="004F6667">
        <w:t xml:space="preserve"> instalovaných LED svítidel dle návrhu: </w:t>
      </w:r>
      <w:r w:rsidRPr="0096733F">
        <w:rPr>
          <w:b/>
          <w:bCs/>
        </w:rPr>
        <w:t>1</w:t>
      </w:r>
      <w:r>
        <w:rPr>
          <w:b/>
          <w:bCs/>
        </w:rPr>
        <w:t>101</w:t>
      </w:r>
      <w:r w:rsidRPr="0096733F">
        <w:rPr>
          <w:b/>
          <w:bCs/>
        </w:rPr>
        <w:t xml:space="preserve"> ks</w:t>
      </w:r>
    </w:p>
    <w:p w14:paraId="6895EA37" w14:textId="77777777" w:rsidR="00D109FE" w:rsidRDefault="00D109FE" w:rsidP="00195D07">
      <w:pPr>
        <w:rPr>
          <w:highlight w:val="yellow"/>
        </w:rPr>
      </w:pPr>
    </w:p>
    <w:p w14:paraId="6D2F098D" w14:textId="77777777" w:rsidR="00BE068B" w:rsidRDefault="00BE068B" w:rsidP="00E71EEC">
      <w:pPr>
        <w:rPr>
          <w:b/>
          <w:bCs/>
        </w:rPr>
      </w:pPr>
      <w:bookmarkStart w:id="1" w:name="_Toc150758213"/>
    </w:p>
    <w:p w14:paraId="1BC2802A" w14:textId="2D2485D5" w:rsidR="00ED7E96" w:rsidRPr="00E71EEC" w:rsidRDefault="00A63AFD" w:rsidP="00E71EEC">
      <w:pPr>
        <w:rPr>
          <w:b/>
          <w:bCs/>
        </w:rPr>
      </w:pPr>
      <w:r w:rsidRPr="00E71EEC">
        <w:rPr>
          <w:b/>
          <w:bCs/>
        </w:rPr>
        <w:t>Provozní režim veřejného osvětlení</w:t>
      </w:r>
      <w:bookmarkEnd w:id="1"/>
    </w:p>
    <w:p w14:paraId="269248A0" w14:textId="77777777" w:rsidR="00ED7E96" w:rsidRDefault="00ED7E96" w:rsidP="00A63AFD">
      <w:pPr>
        <w:rPr>
          <w:highlight w:val="yellow"/>
        </w:rPr>
      </w:pPr>
    </w:p>
    <w:p w14:paraId="615E27A7" w14:textId="77777777" w:rsidR="001810FB" w:rsidRDefault="001810FB" w:rsidP="001810FB">
      <w:pPr>
        <w:spacing w:line="276" w:lineRule="auto"/>
        <w:jc w:val="both"/>
      </w:pPr>
      <w:r w:rsidRPr="00A63AFD">
        <w:t>Elektronické předřadníky svítidel budou autonomně naprogramovány tak, aby svítidlo regulovalo v pozdních nočních hodinách světelný výkon s ohledem na pokles provozu na komunikacích, a to z důvodu energetických úspor. Stmívání musí být přehledným a jednoznačným způsobem doloženo časovým schématem této regulace</w:t>
      </w:r>
      <w:r>
        <w:t>.</w:t>
      </w:r>
    </w:p>
    <w:p w14:paraId="5D864450" w14:textId="77777777" w:rsidR="003B722F" w:rsidRPr="00A63AFD" w:rsidRDefault="003B722F" w:rsidP="001810FB">
      <w:pPr>
        <w:spacing w:line="276" w:lineRule="auto"/>
        <w:jc w:val="both"/>
      </w:pPr>
    </w:p>
    <w:p w14:paraId="7424298D" w14:textId="77777777" w:rsidR="001810FB" w:rsidRDefault="001810FB" w:rsidP="001810FB">
      <w:pPr>
        <w:rPr>
          <w:highlight w:val="yellow"/>
        </w:rPr>
      </w:pPr>
    </w:p>
    <w:p w14:paraId="2A5AF80A" w14:textId="461FD8CB" w:rsidR="001810FB" w:rsidRDefault="001810FB" w:rsidP="001810FB">
      <w:pPr>
        <w:pStyle w:val="Titulek"/>
        <w:keepNext/>
        <w:jc w:val="center"/>
      </w:pPr>
      <w:bookmarkStart w:id="2" w:name="_Toc150758219"/>
      <w:r>
        <w:t>Tabulka 1</w:t>
      </w:r>
      <w:r>
        <w:rPr>
          <w:noProof/>
        </w:rPr>
        <w:t xml:space="preserve"> </w:t>
      </w:r>
      <w:r w:rsidRPr="00471F48">
        <w:rPr>
          <w:noProof/>
        </w:rPr>
        <w:t>- Harmonogram regulace C4, M4</w:t>
      </w:r>
      <w:bookmarkEnd w:id="2"/>
      <w:r>
        <w:rPr>
          <w:noProof/>
        </w:rPr>
        <w:t>, P2, P3</w:t>
      </w:r>
    </w:p>
    <w:tbl>
      <w:tblPr>
        <w:tblStyle w:val="Mkatabulky"/>
        <w:tblW w:w="5665" w:type="dxa"/>
        <w:jc w:val="center"/>
        <w:tblLook w:val="04A0" w:firstRow="1" w:lastRow="0" w:firstColumn="1" w:lastColumn="0" w:noHBand="0" w:noVBand="1"/>
      </w:tblPr>
      <w:tblGrid>
        <w:gridCol w:w="1413"/>
        <w:gridCol w:w="4252"/>
      </w:tblGrid>
      <w:tr w:rsidR="001810FB" w:rsidRPr="004F6667" w14:paraId="23DAC6D7" w14:textId="77777777" w:rsidTr="005037F7">
        <w:trPr>
          <w:trHeight w:val="283"/>
          <w:jc w:val="center"/>
        </w:trPr>
        <w:tc>
          <w:tcPr>
            <w:tcW w:w="1413" w:type="dxa"/>
            <w:shd w:val="clear" w:color="auto" w:fill="D9D9D9" w:themeFill="background1" w:themeFillShade="D9"/>
            <w:noWrap/>
            <w:vAlign w:val="center"/>
          </w:tcPr>
          <w:p w14:paraId="7EEA6E2C" w14:textId="77777777" w:rsidR="001810FB" w:rsidRPr="00912CC9" w:rsidRDefault="001810FB" w:rsidP="005037F7">
            <w:pPr>
              <w:pStyle w:val="Bezmezer"/>
              <w:jc w:val="center"/>
              <w:rPr>
                <w:rFonts w:eastAsia="Times New Roman"/>
                <w:b/>
                <w:bCs/>
                <w:sz w:val="20"/>
                <w:szCs w:val="20"/>
              </w:rPr>
            </w:pPr>
            <w:r w:rsidRPr="00912CC9">
              <w:rPr>
                <w:rFonts w:eastAsia="Times New Roman"/>
                <w:b/>
                <w:bCs/>
                <w:sz w:val="20"/>
                <w:szCs w:val="20"/>
              </w:rPr>
              <w:t>Intenzita</w:t>
            </w:r>
          </w:p>
        </w:tc>
        <w:tc>
          <w:tcPr>
            <w:tcW w:w="4252" w:type="dxa"/>
            <w:shd w:val="clear" w:color="auto" w:fill="D9D9D9" w:themeFill="background1" w:themeFillShade="D9"/>
            <w:noWrap/>
            <w:vAlign w:val="center"/>
          </w:tcPr>
          <w:p w14:paraId="02918653" w14:textId="77777777" w:rsidR="001810FB" w:rsidRPr="00912CC9" w:rsidRDefault="001810FB" w:rsidP="005037F7">
            <w:pPr>
              <w:pStyle w:val="Bezmezer"/>
              <w:jc w:val="center"/>
              <w:rPr>
                <w:rFonts w:eastAsia="Times New Roman"/>
                <w:b/>
                <w:bCs/>
                <w:sz w:val="20"/>
                <w:szCs w:val="20"/>
              </w:rPr>
            </w:pPr>
            <w:r w:rsidRPr="00912CC9">
              <w:rPr>
                <w:rFonts w:eastAsia="Times New Roman"/>
                <w:b/>
                <w:bCs/>
                <w:sz w:val="20"/>
                <w:szCs w:val="20"/>
              </w:rPr>
              <w:t>Harmonogram regulace</w:t>
            </w:r>
          </w:p>
        </w:tc>
      </w:tr>
      <w:tr w:rsidR="001810FB" w:rsidRPr="004F6667" w14:paraId="797176D7" w14:textId="77777777" w:rsidTr="005037F7">
        <w:trPr>
          <w:trHeight w:val="283"/>
          <w:jc w:val="center"/>
        </w:trPr>
        <w:tc>
          <w:tcPr>
            <w:tcW w:w="1413" w:type="dxa"/>
            <w:noWrap/>
            <w:vAlign w:val="center"/>
          </w:tcPr>
          <w:p w14:paraId="1B0AF1CA" w14:textId="77777777" w:rsidR="001810FB" w:rsidRPr="00912CC9" w:rsidRDefault="001810FB" w:rsidP="005037F7">
            <w:pPr>
              <w:pStyle w:val="Bezmezer"/>
              <w:jc w:val="center"/>
              <w:rPr>
                <w:rFonts w:eastAsia="Times New Roman"/>
                <w:sz w:val="20"/>
                <w:szCs w:val="20"/>
              </w:rPr>
            </w:pPr>
            <w:r w:rsidRPr="00912CC9">
              <w:rPr>
                <w:rFonts w:eastAsia="Times New Roman"/>
                <w:sz w:val="20"/>
                <w:szCs w:val="20"/>
              </w:rPr>
              <w:t>100</w:t>
            </w:r>
            <w:r>
              <w:rPr>
                <w:rFonts w:eastAsia="Times New Roman"/>
                <w:sz w:val="20"/>
                <w:szCs w:val="20"/>
              </w:rPr>
              <w:t xml:space="preserve"> </w:t>
            </w:r>
            <w:r w:rsidRPr="00912CC9">
              <w:rPr>
                <w:rFonts w:eastAsia="Times New Roman"/>
                <w:sz w:val="20"/>
                <w:szCs w:val="20"/>
              </w:rPr>
              <w:t>%</w:t>
            </w:r>
          </w:p>
        </w:tc>
        <w:tc>
          <w:tcPr>
            <w:tcW w:w="4252" w:type="dxa"/>
            <w:noWrap/>
            <w:vAlign w:val="center"/>
          </w:tcPr>
          <w:p w14:paraId="0DEA8809" w14:textId="77777777" w:rsidR="001810FB" w:rsidRPr="00912CC9" w:rsidRDefault="001810FB" w:rsidP="005037F7">
            <w:pPr>
              <w:pStyle w:val="Bezmezer"/>
              <w:jc w:val="center"/>
              <w:rPr>
                <w:rFonts w:eastAsia="Times New Roman"/>
                <w:sz w:val="20"/>
                <w:szCs w:val="20"/>
              </w:rPr>
            </w:pPr>
            <w:r w:rsidRPr="00912CC9">
              <w:rPr>
                <w:rFonts w:eastAsia="Times New Roman"/>
                <w:sz w:val="20"/>
                <w:szCs w:val="20"/>
              </w:rPr>
              <w:t>od zapnutí do 22:00</w:t>
            </w:r>
          </w:p>
        </w:tc>
      </w:tr>
      <w:tr w:rsidR="001810FB" w:rsidRPr="004F6667" w14:paraId="626540BF" w14:textId="77777777" w:rsidTr="005037F7">
        <w:trPr>
          <w:trHeight w:val="283"/>
          <w:jc w:val="center"/>
        </w:trPr>
        <w:tc>
          <w:tcPr>
            <w:tcW w:w="1413" w:type="dxa"/>
            <w:noWrap/>
            <w:vAlign w:val="center"/>
          </w:tcPr>
          <w:p w14:paraId="10E91171" w14:textId="77777777" w:rsidR="001810FB" w:rsidRPr="00912CC9" w:rsidRDefault="001810FB" w:rsidP="005037F7">
            <w:pPr>
              <w:pStyle w:val="Bezmezer"/>
              <w:jc w:val="center"/>
              <w:rPr>
                <w:rFonts w:eastAsia="Times New Roman"/>
                <w:sz w:val="20"/>
                <w:szCs w:val="20"/>
              </w:rPr>
            </w:pPr>
            <w:r>
              <w:rPr>
                <w:rFonts w:eastAsia="Times New Roman"/>
                <w:sz w:val="20"/>
                <w:szCs w:val="20"/>
              </w:rPr>
              <w:t xml:space="preserve">75 </w:t>
            </w:r>
            <w:r w:rsidRPr="00912CC9">
              <w:rPr>
                <w:rFonts w:eastAsia="Times New Roman"/>
                <w:sz w:val="20"/>
                <w:szCs w:val="20"/>
              </w:rPr>
              <w:t>%</w:t>
            </w:r>
          </w:p>
        </w:tc>
        <w:tc>
          <w:tcPr>
            <w:tcW w:w="4252" w:type="dxa"/>
            <w:noWrap/>
            <w:vAlign w:val="center"/>
          </w:tcPr>
          <w:p w14:paraId="584ECEED" w14:textId="77777777" w:rsidR="001810FB" w:rsidRPr="00912CC9" w:rsidRDefault="001810FB" w:rsidP="005037F7">
            <w:pPr>
              <w:pStyle w:val="Bezmezer"/>
              <w:jc w:val="center"/>
              <w:rPr>
                <w:rFonts w:eastAsia="Times New Roman"/>
                <w:sz w:val="20"/>
                <w:szCs w:val="20"/>
              </w:rPr>
            </w:pPr>
            <w:r w:rsidRPr="00912CC9">
              <w:rPr>
                <w:rFonts w:eastAsia="Times New Roman"/>
                <w:sz w:val="20"/>
                <w:szCs w:val="20"/>
              </w:rPr>
              <w:t xml:space="preserve">22:00 – </w:t>
            </w:r>
            <w:r>
              <w:rPr>
                <w:rFonts w:eastAsia="Times New Roman"/>
                <w:sz w:val="20"/>
                <w:szCs w:val="20"/>
              </w:rPr>
              <w:t>23</w:t>
            </w:r>
            <w:r w:rsidRPr="00912CC9">
              <w:rPr>
                <w:rFonts w:eastAsia="Times New Roman"/>
                <w:sz w:val="20"/>
                <w:szCs w:val="20"/>
              </w:rPr>
              <w:t xml:space="preserve">:00 </w:t>
            </w:r>
          </w:p>
        </w:tc>
      </w:tr>
      <w:tr w:rsidR="001810FB" w:rsidRPr="004F6667" w14:paraId="158451F7" w14:textId="77777777" w:rsidTr="005037F7">
        <w:trPr>
          <w:trHeight w:val="283"/>
          <w:jc w:val="center"/>
        </w:trPr>
        <w:tc>
          <w:tcPr>
            <w:tcW w:w="1413" w:type="dxa"/>
            <w:noWrap/>
            <w:vAlign w:val="center"/>
          </w:tcPr>
          <w:p w14:paraId="6171D9BE" w14:textId="77777777" w:rsidR="001810FB" w:rsidRPr="00912CC9" w:rsidRDefault="001810FB" w:rsidP="005037F7">
            <w:pPr>
              <w:pStyle w:val="Bezmezer"/>
              <w:jc w:val="center"/>
              <w:rPr>
                <w:rFonts w:eastAsia="Times New Roman"/>
                <w:sz w:val="20"/>
                <w:szCs w:val="20"/>
              </w:rPr>
            </w:pPr>
            <w:r>
              <w:rPr>
                <w:rFonts w:eastAsia="Times New Roman"/>
                <w:sz w:val="20"/>
                <w:szCs w:val="20"/>
              </w:rPr>
              <w:t>5</w:t>
            </w:r>
            <w:r w:rsidRPr="00912CC9">
              <w:rPr>
                <w:rFonts w:eastAsia="Times New Roman"/>
                <w:sz w:val="20"/>
                <w:szCs w:val="20"/>
              </w:rPr>
              <w:t>0</w:t>
            </w:r>
            <w:r>
              <w:rPr>
                <w:rFonts w:eastAsia="Times New Roman"/>
                <w:sz w:val="20"/>
                <w:szCs w:val="20"/>
              </w:rPr>
              <w:t xml:space="preserve"> </w:t>
            </w:r>
            <w:r w:rsidRPr="00912CC9">
              <w:rPr>
                <w:rFonts w:eastAsia="Times New Roman"/>
                <w:sz w:val="20"/>
                <w:szCs w:val="20"/>
              </w:rPr>
              <w:t>%</w:t>
            </w:r>
          </w:p>
        </w:tc>
        <w:tc>
          <w:tcPr>
            <w:tcW w:w="4252" w:type="dxa"/>
            <w:noWrap/>
            <w:vAlign w:val="center"/>
          </w:tcPr>
          <w:p w14:paraId="67BB3F9D" w14:textId="77777777" w:rsidR="001810FB" w:rsidRPr="00912CC9" w:rsidRDefault="001810FB" w:rsidP="005037F7">
            <w:pPr>
              <w:pStyle w:val="Bezmezer"/>
              <w:jc w:val="center"/>
              <w:rPr>
                <w:rFonts w:eastAsia="Times New Roman"/>
                <w:sz w:val="20"/>
                <w:szCs w:val="20"/>
              </w:rPr>
            </w:pPr>
            <w:r w:rsidRPr="00912CC9">
              <w:rPr>
                <w:rFonts w:eastAsia="Times New Roman"/>
                <w:sz w:val="20"/>
                <w:szCs w:val="20"/>
              </w:rPr>
              <w:t>2</w:t>
            </w:r>
            <w:r>
              <w:rPr>
                <w:rFonts w:eastAsia="Times New Roman"/>
                <w:sz w:val="20"/>
                <w:szCs w:val="20"/>
              </w:rPr>
              <w:t>3</w:t>
            </w:r>
            <w:r w:rsidRPr="00912CC9">
              <w:rPr>
                <w:rFonts w:eastAsia="Times New Roman"/>
                <w:sz w:val="20"/>
                <w:szCs w:val="20"/>
              </w:rPr>
              <w:t xml:space="preserve">:00 – </w:t>
            </w:r>
            <w:r>
              <w:rPr>
                <w:rFonts w:eastAsia="Times New Roman"/>
                <w:sz w:val="20"/>
                <w:szCs w:val="20"/>
              </w:rPr>
              <w:t>4</w:t>
            </w:r>
            <w:r w:rsidRPr="00912CC9">
              <w:rPr>
                <w:rFonts w:eastAsia="Times New Roman"/>
                <w:sz w:val="20"/>
                <w:szCs w:val="20"/>
              </w:rPr>
              <w:t xml:space="preserve">:00 </w:t>
            </w:r>
          </w:p>
        </w:tc>
      </w:tr>
      <w:tr w:rsidR="001810FB" w:rsidRPr="004F6667" w14:paraId="74747518" w14:textId="77777777" w:rsidTr="005037F7">
        <w:trPr>
          <w:trHeight w:val="283"/>
          <w:jc w:val="center"/>
        </w:trPr>
        <w:tc>
          <w:tcPr>
            <w:tcW w:w="1413" w:type="dxa"/>
            <w:noWrap/>
            <w:vAlign w:val="center"/>
          </w:tcPr>
          <w:p w14:paraId="104921BD" w14:textId="77777777" w:rsidR="001810FB" w:rsidRPr="00912CC9" w:rsidRDefault="001810FB" w:rsidP="005037F7">
            <w:pPr>
              <w:pStyle w:val="Bezmezer"/>
              <w:jc w:val="center"/>
              <w:rPr>
                <w:rFonts w:eastAsia="Times New Roman"/>
                <w:sz w:val="20"/>
                <w:szCs w:val="20"/>
              </w:rPr>
            </w:pPr>
            <w:r>
              <w:rPr>
                <w:rFonts w:eastAsia="Times New Roman"/>
                <w:sz w:val="20"/>
                <w:szCs w:val="20"/>
              </w:rPr>
              <w:t xml:space="preserve">75 </w:t>
            </w:r>
            <w:r w:rsidRPr="00912CC9">
              <w:rPr>
                <w:rFonts w:eastAsia="Times New Roman"/>
                <w:sz w:val="20"/>
                <w:szCs w:val="20"/>
              </w:rPr>
              <w:t>%</w:t>
            </w:r>
          </w:p>
        </w:tc>
        <w:tc>
          <w:tcPr>
            <w:tcW w:w="4252" w:type="dxa"/>
            <w:noWrap/>
            <w:vAlign w:val="center"/>
          </w:tcPr>
          <w:p w14:paraId="609FFB31" w14:textId="77777777" w:rsidR="001810FB" w:rsidRPr="00912CC9" w:rsidRDefault="001810FB" w:rsidP="005037F7">
            <w:pPr>
              <w:pStyle w:val="Bezmezer"/>
              <w:jc w:val="center"/>
              <w:rPr>
                <w:rFonts w:eastAsia="Times New Roman"/>
                <w:sz w:val="20"/>
                <w:szCs w:val="20"/>
              </w:rPr>
            </w:pPr>
            <w:r>
              <w:rPr>
                <w:rFonts w:eastAsia="Times New Roman"/>
                <w:sz w:val="20"/>
                <w:szCs w:val="20"/>
              </w:rPr>
              <w:t>4</w:t>
            </w:r>
            <w:r w:rsidRPr="00912CC9">
              <w:rPr>
                <w:rFonts w:eastAsia="Times New Roman"/>
                <w:sz w:val="20"/>
                <w:szCs w:val="20"/>
              </w:rPr>
              <w:t xml:space="preserve">:00 – </w:t>
            </w:r>
            <w:r>
              <w:rPr>
                <w:rFonts w:eastAsia="Times New Roman"/>
                <w:sz w:val="20"/>
                <w:szCs w:val="20"/>
              </w:rPr>
              <w:t>5</w:t>
            </w:r>
            <w:r w:rsidRPr="00912CC9">
              <w:rPr>
                <w:rFonts w:eastAsia="Times New Roman"/>
                <w:sz w:val="20"/>
                <w:szCs w:val="20"/>
              </w:rPr>
              <w:t xml:space="preserve">:00 </w:t>
            </w:r>
          </w:p>
        </w:tc>
      </w:tr>
      <w:tr w:rsidR="001810FB" w:rsidRPr="004F6667" w14:paraId="6383A607" w14:textId="77777777" w:rsidTr="005037F7">
        <w:trPr>
          <w:trHeight w:val="283"/>
          <w:jc w:val="center"/>
        </w:trPr>
        <w:tc>
          <w:tcPr>
            <w:tcW w:w="1413" w:type="dxa"/>
            <w:noWrap/>
            <w:vAlign w:val="center"/>
          </w:tcPr>
          <w:p w14:paraId="32BD01F2" w14:textId="77777777" w:rsidR="001810FB" w:rsidRPr="00912CC9" w:rsidRDefault="001810FB" w:rsidP="005037F7">
            <w:pPr>
              <w:pStyle w:val="Bezmezer"/>
              <w:jc w:val="center"/>
              <w:rPr>
                <w:rFonts w:eastAsia="Times New Roman"/>
                <w:sz w:val="20"/>
                <w:szCs w:val="20"/>
              </w:rPr>
            </w:pPr>
            <w:r w:rsidRPr="00912CC9">
              <w:rPr>
                <w:rFonts w:eastAsia="Times New Roman"/>
                <w:sz w:val="20"/>
                <w:szCs w:val="20"/>
              </w:rPr>
              <w:t>100</w:t>
            </w:r>
            <w:r>
              <w:rPr>
                <w:rFonts w:eastAsia="Times New Roman"/>
                <w:sz w:val="20"/>
                <w:szCs w:val="20"/>
              </w:rPr>
              <w:t xml:space="preserve"> </w:t>
            </w:r>
            <w:r w:rsidRPr="00912CC9">
              <w:rPr>
                <w:rFonts w:eastAsia="Times New Roman"/>
                <w:sz w:val="20"/>
                <w:szCs w:val="20"/>
              </w:rPr>
              <w:t>%</w:t>
            </w:r>
          </w:p>
        </w:tc>
        <w:tc>
          <w:tcPr>
            <w:tcW w:w="4252" w:type="dxa"/>
            <w:noWrap/>
            <w:vAlign w:val="center"/>
          </w:tcPr>
          <w:p w14:paraId="18006DDE" w14:textId="77777777" w:rsidR="001810FB" w:rsidRPr="00912CC9" w:rsidRDefault="001810FB" w:rsidP="005037F7">
            <w:pPr>
              <w:pStyle w:val="Bezmezer"/>
              <w:keepNext/>
              <w:jc w:val="center"/>
              <w:rPr>
                <w:rFonts w:eastAsia="Times New Roman"/>
                <w:sz w:val="20"/>
                <w:szCs w:val="20"/>
              </w:rPr>
            </w:pPr>
            <w:r w:rsidRPr="00912CC9">
              <w:rPr>
                <w:rFonts w:eastAsia="Times New Roman"/>
                <w:sz w:val="20"/>
                <w:szCs w:val="20"/>
              </w:rPr>
              <w:t xml:space="preserve">od </w:t>
            </w:r>
            <w:r>
              <w:rPr>
                <w:rFonts w:eastAsia="Times New Roman"/>
                <w:sz w:val="20"/>
                <w:szCs w:val="20"/>
              </w:rPr>
              <w:t>5</w:t>
            </w:r>
            <w:r w:rsidRPr="00912CC9">
              <w:rPr>
                <w:rFonts w:eastAsia="Times New Roman"/>
                <w:sz w:val="20"/>
                <w:szCs w:val="20"/>
              </w:rPr>
              <w:t>:00 do vypnutí</w:t>
            </w:r>
          </w:p>
        </w:tc>
      </w:tr>
    </w:tbl>
    <w:p w14:paraId="25B562E7" w14:textId="77777777" w:rsidR="00CD101E" w:rsidRDefault="00CD101E" w:rsidP="001810FB">
      <w:pPr>
        <w:spacing w:line="276" w:lineRule="auto"/>
        <w:jc w:val="both"/>
      </w:pPr>
    </w:p>
    <w:p w14:paraId="2FE3867F" w14:textId="2190E633" w:rsidR="001810FB" w:rsidRDefault="001810FB" w:rsidP="001810FB">
      <w:pPr>
        <w:pStyle w:val="Titulek"/>
        <w:keepNext/>
        <w:jc w:val="center"/>
      </w:pPr>
      <w:bookmarkStart w:id="3" w:name="_Toc150758220"/>
      <w:r>
        <w:t xml:space="preserve">Tabulka 2 - </w:t>
      </w:r>
      <w:r w:rsidRPr="008B6B53">
        <w:t>Harmonogram regulace C5, M5, P4</w:t>
      </w:r>
      <w:bookmarkEnd w:id="3"/>
      <w:r>
        <w:t xml:space="preserve">, </w:t>
      </w:r>
    </w:p>
    <w:tbl>
      <w:tblPr>
        <w:tblStyle w:val="Mkatabulky"/>
        <w:tblW w:w="5665" w:type="dxa"/>
        <w:jc w:val="center"/>
        <w:tblLook w:val="04A0" w:firstRow="1" w:lastRow="0" w:firstColumn="1" w:lastColumn="0" w:noHBand="0" w:noVBand="1"/>
      </w:tblPr>
      <w:tblGrid>
        <w:gridCol w:w="1413"/>
        <w:gridCol w:w="4252"/>
      </w:tblGrid>
      <w:tr w:rsidR="001810FB" w:rsidRPr="004F6667" w14:paraId="47EFBA87" w14:textId="77777777" w:rsidTr="005037F7">
        <w:trPr>
          <w:trHeight w:val="283"/>
          <w:jc w:val="center"/>
        </w:trPr>
        <w:tc>
          <w:tcPr>
            <w:tcW w:w="1413" w:type="dxa"/>
            <w:shd w:val="clear" w:color="auto" w:fill="D9D9D9" w:themeFill="background1" w:themeFillShade="D9"/>
            <w:noWrap/>
            <w:vAlign w:val="center"/>
          </w:tcPr>
          <w:p w14:paraId="46AB79CC" w14:textId="77777777" w:rsidR="001810FB" w:rsidRPr="00912CC9" w:rsidRDefault="001810FB" w:rsidP="005037F7">
            <w:pPr>
              <w:pStyle w:val="Bezmezer"/>
              <w:jc w:val="center"/>
              <w:rPr>
                <w:rFonts w:eastAsia="Times New Roman"/>
                <w:b/>
                <w:bCs/>
                <w:sz w:val="20"/>
                <w:szCs w:val="20"/>
              </w:rPr>
            </w:pPr>
            <w:r w:rsidRPr="00912CC9">
              <w:rPr>
                <w:rFonts w:eastAsia="Times New Roman"/>
                <w:b/>
                <w:bCs/>
                <w:sz w:val="20"/>
                <w:szCs w:val="20"/>
              </w:rPr>
              <w:t>Intenzita</w:t>
            </w:r>
          </w:p>
        </w:tc>
        <w:tc>
          <w:tcPr>
            <w:tcW w:w="4252" w:type="dxa"/>
            <w:shd w:val="clear" w:color="auto" w:fill="D9D9D9" w:themeFill="background1" w:themeFillShade="D9"/>
            <w:noWrap/>
            <w:vAlign w:val="center"/>
          </w:tcPr>
          <w:p w14:paraId="3B6C61C6" w14:textId="77777777" w:rsidR="001810FB" w:rsidRPr="00912CC9" w:rsidRDefault="001810FB" w:rsidP="005037F7">
            <w:pPr>
              <w:pStyle w:val="Bezmezer"/>
              <w:jc w:val="center"/>
              <w:rPr>
                <w:rFonts w:eastAsia="Times New Roman"/>
                <w:b/>
                <w:bCs/>
                <w:sz w:val="20"/>
                <w:szCs w:val="20"/>
              </w:rPr>
            </w:pPr>
            <w:r w:rsidRPr="00912CC9">
              <w:rPr>
                <w:rFonts w:eastAsia="Times New Roman"/>
                <w:b/>
                <w:bCs/>
                <w:sz w:val="20"/>
                <w:szCs w:val="20"/>
              </w:rPr>
              <w:t>Harmonogram regulace</w:t>
            </w:r>
          </w:p>
        </w:tc>
      </w:tr>
      <w:tr w:rsidR="001810FB" w:rsidRPr="004F6667" w14:paraId="679A7B24" w14:textId="77777777" w:rsidTr="005037F7">
        <w:trPr>
          <w:trHeight w:val="283"/>
          <w:jc w:val="center"/>
        </w:trPr>
        <w:tc>
          <w:tcPr>
            <w:tcW w:w="1413" w:type="dxa"/>
            <w:noWrap/>
            <w:vAlign w:val="center"/>
          </w:tcPr>
          <w:p w14:paraId="52D39F77" w14:textId="77777777" w:rsidR="001810FB" w:rsidRPr="00912CC9" w:rsidRDefault="001810FB" w:rsidP="005037F7">
            <w:pPr>
              <w:pStyle w:val="Bezmezer"/>
              <w:jc w:val="center"/>
              <w:rPr>
                <w:rFonts w:eastAsia="Times New Roman"/>
                <w:sz w:val="20"/>
                <w:szCs w:val="20"/>
              </w:rPr>
            </w:pPr>
            <w:r w:rsidRPr="00912CC9">
              <w:rPr>
                <w:rFonts w:eastAsia="Times New Roman"/>
                <w:sz w:val="20"/>
                <w:szCs w:val="20"/>
              </w:rPr>
              <w:t>100</w:t>
            </w:r>
            <w:r>
              <w:rPr>
                <w:rFonts w:eastAsia="Times New Roman"/>
                <w:sz w:val="20"/>
                <w:szCs w:val="20"/>
              </w:rPr>
              <w:t xml:space="preserve"> </w:t>
            </w:r>
            <w:r w:rsidRPr="00912CC9">
              <w:rPr>
                <w:rFonts w:eastAsia="Times New Roman"/>
                <w:sz w:val="20"/>
                <w:szCs w:val="20"/>
              </w:rPr>
              <w:t>%</w:t>
            </w:r>
          </w:p>
        </w:tc>
        <w:tc>
          <w:tcPr>
            <w:tcW w:w="4252" w:type="dxa"/>
            <w:noWrap/>
            <w:vAlign w:val="center"/>
          </w:tcPr>
          <w:p w14:paraId="1B996A94" w14:textId="77777777" w:rsidR="001810FB" w:rsidRPr="00912CC9" w:rsidRDefault="001810FB" w:rsidP="005037F7">
            <w:pPr>
              <w:pStyle w:val="Bezmezer"/>
              <w:jc w:val="center"/>
              <w:rPr>
                <w:rFonts w:eastAsia="Times New Roman"/>
                <w:sz w:val="20"/>
                <w:szCs w:val="20"/>
              </w:rPr>
            </w:pPr>
            <w:r w:rsidRPr="00912CC9">
              <w:rPr>
                <w:rFonts w:eastAsia="Times New Roman"/>
                <w:sz w:val="20"/>
                <w:szCs w:val="20"/>
              </w:rPr>
              <w:t>od zapnutí do 22:00</w:t>
            </w:r>
          </w:p>
        </w:tc>
      </w:tr>
      <w:tr w:rsidR="001810FB" w:rsidRPr="004F6667" w14:paraId="49EB8C7E" w14:textId="77777777" w:rsidTr="005037F7">
        <w:trPr>
          <w:trHeight w:val="283"/>
          <w:jc w:val="center"/>
        </w:trPr>
        <w:tc>
          <w:tcPr>
            <w:tcW w:w="1413" w:type="dxa"/>
            <w:noWrap/>
            <w:vAlign w:val="center"/>
          </w:tcPr>
          <w:p w14:paraId="2C7309F1" w14:textId="77777777" w:rsidR="001810FB" w:rsidRPr="00912CC9" w:rsidRDefault="001810FB" w:rsidP="005037F7">
            <w:pPr>
              <w:pStyle w:val="Bezmezer"/>
              <w:jc w:val="center"/>
              <w:rPr>
                <w:rFonts w:eastAsia="Times New Roman"/>
                <w:sz w:val="20"/>
                <w:szCs w:val="20"/>
              </w:rPr>
            </w:pPr>
            <w:r>
              <w:rPr>
                <w:rFonts w:eastAsia="Times New Roman"/>
                <w:sz w:val="20"/>
                <w:szCs w:val="20"/>
              </w:rPr>
              <w:t>6</w:t>
            </w:r>
            <w:r w:rsidRPr="00912CC9">
              <w:rPr>
                <w:rFonts w:eastAsia="Times New Roman"/>
                <w:sz w:val="20"/>
                <w:szCs w:val="20"/>
              </w:rPr>
              <w:t>0</w:t>
            </w:r>
            <w:r>
              <w:rPr>
                <w:rFonts w:eastAsia="Times New Roman"/>
                <w:sz w:val="20"/>
                <w:szCs w:val="20"/>
              </w:rPr>
              <w:t xml:space="preserve"> </w:t>
            </w:r>
            <w:r w:rsidRPr="00912CC9">
              <w:rPr>
                <w:rFonts w:eastAsia="Times New Roman"/>
                <w:sz w:val="20"/>
                <w:szCs w:val="20"/>
              </w:rPr>
              <w:t>%</w:t>
            </w:r>
          </w:p>
        </w:tc>
        <w:tc>
          <w:tcPr>
            <w:tcW w:w="4252" w:type="dxa"/>
            <w:noWrap/>
            <w:vAlign w:val="center"/>
          </w:tcPr>
          <w:p w14:paraId="545131AD" w14:textId="77777777" w:rsidR="001810FB" w:rsidRPr="00912CC9" w:rsidRDefault="001810FB" w:rsidP="005037F7">
            <w:pPr>
              <w:pStyle w:val="Bezmezer"/>
              <w:jc w:val="center"/>
              <w:rPr>
                <w:rFonts w:eastAsia="Times New Roman"/>
                <w:sz w:val="20"/>
                <w:szCs w:val="20"/>
              </w:rPr>
            </w:pPr>
            <w:r w:rsidRPr="00912CC9">
              <w:rPr>
                <w:rFonts w:eastAsia="Times New Roman"/>
                <w:sz w:val="20"/>
                <w:szCs w:val="20"/>
              </w:rPr>
              <w:t>2</w:t>
            </w:r>
            <w:r>
              <w:rPr>
                <w:rFonts w:eastAsia="Times New Roman"/>
                <w:sz w:val="20"/>
                <w:szCs w:val="20"/>
              </w:rPr>
              <w:t>2</w:t>
            </w:r>
            <w:r w:rsidRPr="00912CC9">
              <w:rPr>
                <w:rFonts w:eastAsia="Times New Roman"/>
                <w:sz w:val="20"/>
                <w:szCs w:val="20"/>
              </w:rPr>
              <w:t xml:space="preserve">:00 – </w:t>
            </w:r>
            <w:r>
              <w:rPr>
                <w:rFonts w:eastAsia="Times New Roman"/>
                <w:sz w:val="20"/>
                <w:szCs w:val="20"/>
              </w:rPr>
              <w:t>6</w:t>
            </w:r>
            <w:r w:rsidRPr="00912CC9">
              <w:rPr>
                <w:rFonts w:eastAsia="Times New Roman"/>
                <w:sz w:val="20"/>
                <w:szCs w:val="20"/>
              </w:rPr>
              <w:t xml:space="preserve">:00 </w:t>
            </w:r>
          </w:p>
        </w:tc>
      </w:tr>
      <w:tr w:rsidR="001810FB" w:rsidRPr="004F6667" w14:paraId="109A8AA6" w14:textId="77777777" w:rsidTr="005037F7">
        <w:trPr>
          <w:trHeight w:val="283"/>
          <w:jc w:val="center"/>
        </w:trPr>
        <w:tc>
          <w:tcPr>
            <w:tcW w:w="1413" w:type="dxa"/>
            <w:noWrap/>
            <w:vAlign w:val="center"/>
          </w:tcPr>
          <w:p w14:paraId="6C79A506" w14:textId="77777777" w:rsidR="001810FB" w:rsidRPr="00912CC9" w:rsidRDefault="001810FB" w:rsidP="005037F7">
            <w:pPr>
              <w:pStyle w:val="Bezmezer"/>
              <w:jc w:val="center"/>
              <w:rPr>
                <w:rFonts w:eastAsia="Times New Roman"/>
                <w:sz w:val="20"/>
                <w:szCs w:val="20"/>
              </w:rPr>
            </w:pPr>
            <w:r w:rsidRPr="00912CC9">
              <w:rPr>
                <w:rFonts w:eastAsia="Times New Roman"/>
                <w:sz w:val="20"/>
                <w:szCs w:val="20"/>
              </w:rPr>
              <w:t>100</w:t>
            </w:r>
            <w:r>
              <w:rPr>
                <w:rFonts w:eastAsia="Times New Roman"/>
                <w:sz w:val="20"/>
                <w:szCs w:val="20"/>
              </w:rPr>
              <w:t xml:space="preserve"> </w:t>
            </w:r>
            <w:r w:rsidRPr="00912CC9">
              <w:rPr>
                <w:rFonts w:eastAsia="Times New Roman"/>
                <w:sz w:val="20"/>
                <w:szCs w:val="20"/>
              </w:rPr>
              <w:t>%</w:t>
            </w:r>
          </w:p>
        </w:tc>
        <w:tc>
          <w:tcPr>
            <w:tcW w:w="4252" w:type="dxa"/>
            <w:noWrap/>
            <w:vAlign w:val="center"/>
          </w:tcPr>
          <w:p w14:paraId="11BCBC90" w14:textId="77777777" w:rsidR="001810FB" w:rsidRPr="00912CC9" w:rsidRDefault="001810FB" w:rsidP="005037F7">
            <w:pPr>
              <w:pStyle w:val="Bezmezer"/>
              <w:keepNext/>
              <w:jc w:val="center"/>
              <w:rPr>
                <w:rFonts w:eastAsia="Times New Roman"/>
                <w:sz w:val="20"/>
                <w:szCs w:val="20"/>
              </w:rPr>
            </w:pPr>
            <w:r w:rsidRPr="00912CC9">
              <w:rPr>
                <w:rFonts w:eastAsia="Times New Roman"/>
                <w:sz w:val="20"/>
                <w:szCs w:val="20"/>
              </w:rPr>
              <w:t xml:space="preserve">od </w:t>
            </w:r>
            <w:r>
              <w:rPr>
                <w:rFonts w:eastAsia="Times New Roman"/>
                <w:sz w:val="20"/>
                <w:szCs w:val="20"/>
              </w:rPr>
              <w:t>6</w:t>
            </w:r>
            <w:r w:rsidRPr="00912CC9">
              <w:rPr>
                <w:rFonts w:eastAsia="Times New Roman"/>
                <w:sz w:val="20"/>
                <w:szCs w:val="20"/>
              </w:rPr>
              <w:t>:00 do vypnutí</w:t>
            </w:r>
          </w:p>
        </w:tc>
      </w:tr>
    </w:tbl>
    <w:p w14:paraId="13C5CDD6" w14:textId="77777777" w:rsidR="001810FB" w:rsidRDefault="001810FB" w:rsidP="001810FB">
      <w:pPr>
        <w:spacing w:line="276" w:lineRule="auto"/>
        <w:jc w:val="both"/>
      </w:pPr>
    </w:p>
    <w:p w14:paraId="267641D1" w14:textId="77777777" w:rsidR="001810FB" w:rsidRDefault="001810FB" w:rsidP="001810FB">
      <w:pPr>
        <w:spacing w:line="276" w:lineRule="auto"/>
        <w:jc w:val="both"/>
      </w:pPr>
      <w:r>
        <w:t>Komunikace tříd M6 a P5 jsou bez regulace.</w:t>
      </w:r>
    </w:p>
    <w:p w14:paraId="21C7B5CF" w14:textId="77777777" w:rsidR="001810FB" w:rsidRDefault="001810FB" w:rsidP="001810FB">
      <w:pPr>
        <w:spacing w:line="276" w:lineRule="auto"/>
        <w:jc w:val="both"/>
      </w:pPr>
    </w:p>
    <w:p w14:paraId="05969999" w14:textId="77777777" w:rsidR="001810FB" w:rsidRDefault="001810FB" w:rsidP="001810FB">
      <w:pPr>
        <w:pStyle w:val="Nadpis2"/>
      </w:pPr>
      <w:bookmarkStart w:id="4" w:name="_Toc166571729"/>
      <w:r>
        <w:t>Zóny životného prostředí</w:t>
      </w:r>
      <w:bookmarkEnd w:id="4"/>
    </w:p>
    <w:p w14:paraId="7D8F3C6C" w14:textId="77777777" w:rsidR="001810FB" w:rsidRDefault="001810FB" w:rsidP="001810FB">
      <w:pPr>
        <w:spacing w:line="276" w:lineRule="auto"/>
        <w:jc w:val="both"/>
      </w:pPr>
    </w:p>
    <w:p w14:paraId="7B0E0420" w14:textId="77777777" w:rsidR="001810FB" w:rsidRDefault="001810FB" w:rsidP="001810FB">
      <w:pPr>
        <w:spacing w:line="276" w:lineRule="auto"/>
        <w:jc w:val="both"/>
      </w:pPr>
      <w:r>
        <w:t xml:space="preserve">Pro ochranu a zlepšení nočního prostředí je nutné dodržet limity stanovené normou ČSN EN 12 464-2 v oblasti rušivého světla (známé také jako světelné znečištění), které může představovat fyziologické a ekologické problémy pro prostředí a osoby. </w:t>
      </w:r>
    </w:p>
    <w:p w14:paraId="63C13A6E" w14:textId="77777777" w:rsidR="001810FB" w:rsidRDefault="001810FB" w:rsidP="001810FB">
      <w:pPr>
        <w:spacing w:line="276" w:lineRule="auto"/>
        <w:jc w:val="both"/>
      </w:pPr>
    </w:p>
    <w:p w14:paraId="06EB8314" w14:textId="77777777" w:rsidR="001810FB" w:rsidRDefault="001810FB" w:rsidP="001810FB">
      <w:pPr>
        <w:spacing w:line="276" w:lineRule="auto"/>
        <w:jc w:val="both"/>
        <w:rPr>
          <w:highlight w:val="yellow"/>
        </w:rPr>
      </w:pPr>
      <w:r>
        <w:t>Oblast výměny svítidel je zařazena do environmentální oblasti E4 a E3.</w:t>
      </w:r>
    </w:p>
    <w:p w14:paraId="5068F07E" w14:textId="5D5A0427" w:rsidR="00ED7E96" w:rsidRDefault="00ED7E96" w:rsidP="001810FB">
      <w:pPr>
        <w:spacing w:line="360" w:lineRule="auto"/>
        <w:jc w:val="both"/>
        <w:rPr>
          <w:highlight w:val="yellow"/>
        </w:rPr>
      </w:pPr>
    </w:p>
    <w:p w14:paraId="546830D2" w14:textId="77777777" w:rsidR="00DF326E" w:rsidRDefault="00DF326E" w:rsidP="001810FB">
      <w:pPr>
        <w:spacing w:line="360" w:lineRule="auto"/>
        <w:jc w:val="both"/>
        <w:rPr>
          <w:highlight w:val="yellow"/>
        </w:rPr>
      </w:pPr>
    </w:p>
    <w:p w14:paraId="0E2DEDD4" w14:textId="572DD25E" w:rsidR="00DF326E" w:rsidRPr="00DF326E" w:rsidRDefault="00DF326E" w:rsidP="00DF326E">
      <w:pPr>
        <w:pStyle w:val="Oddlstyl"/>
        <w:spacing w:after="144" w:line="360" w:lineRule="auto"/>
        <w:rPr>
          <w:rFonts w:cstheme="minorHAnsi"/>
          <w:noProof w:val="0"/>
          <w:sz w:val="22"/>
        </w:rPr>
      </w:pPr>
      <w:r w:rsidRPr="00DF326E">
        <w:rPr>
          <w:rFonts w:cstheme="minorHAnsi"/>
          <w:noProof w:val="0"/>
          <w:sz w:val="22"/>
        </w:rPr>
        <w:t>Požadavky na smart DC modul:</w:t>
      </w:r>
    </w:p>
    <w:p w14:paraId="6CF8F88C" w14:textId="40BF5AFC" w:rsidR="00DF326E" w:rsidRDefault="00DF326E" w:rsidP="001810FB">
      <w:pPr>
        <w:spacing w:line="360" w:lineRule="auto"/>
        <w:jc w:val="both"/>
        <w:rPr>
          <w:highlight w:val="yellow"/>
        </w:rPr>
      </w:pPr>
      <w:r w:rsidRPr="00DF326E">
        <w:t>Všechna svítidla musí mít přípravu na instalaci regulačního prvku používaného městem Šumperk do těla svítidla. Výrobce zároveň prohlašuje, že doplnění regulačního prvku nemá vliv na záruku svítidla.</w:t>
      </w:r>
    </w:p>
    <w:p w14:paraId="686FDC3B" w14:textId="77777777" w:rsidR="00DF326E" w:rsidRPr="00DF326E" w:rsidRDefault="00DF326E" w:rsidP="001810FB">
      <w:pPr>
        <w:spacing w:line="360" w:lineRule="auto"/>
        <w:jc w:val="both"/>
      </w:pPr>
    </w:p>
    <w:p w14:paraId="6F31CB05" w14:textId="77777777" w:rsidR="00DF326E" w:rsidRDefault="00DF326E" w:rsidP="00DF326E">
      <w:pPr>
        <w:pStyle w:val="Odstavecseseznamem"/>
        <w:numPr>
          <w:ilvl w:val="0"/>
          <w:numId w:val="22"/>
        </w:numPr>
        <w:spacing w:line="360" w:lineRule="auto"/>
        <w:jc w:val="both"/>
      </w:pPr>
      <w:r w:rsidRPr="00DF326E">
        <w:t xml:space="preserve">Napájení a spotřeba: 85-265VAC/50Hz; 1W. </w:t>
      </w:r>
    </w:p>
    <w:p w14:paraId="425A1F91" w14:textId="77777777" w:rsidR="00DF326E" w:rsidRDefault="00DF326E" w:rsidP="00DF326E">
      <w:pPr>
        <w:pStyle w:val="Odstavecseseznamem"/>
        <w:numPr>
          <w:ilvl w:val="0"/>
          <w:numId w:val="22"/>
        </w:numPr>
        <w:spacing w:line="360" w:lineRule="auto"/>
        <w:jc w:val="both"/>
      </w:pPr>
      <w:r w:rsidRPr="00DF326E">
        <w:t xml:space="preserve">Provozní teplota: -30°C až 55°C. </w:t>
      </w:r>
    </w:p>
    <w:p w14:paraId="7AF3169D" w14:textId="77777777" w:rsidR="00DF326E" w:rsidRDefault="00DF326E" w:rsidP="00DF326E">
      <w:pPr>
        <w:pStyle w:val="Odstavecseseznamem"/>
        <w:numPr>
          <w:ilvl w:val="0"/>
          <w:numId w:val="22"/>
        </w:numPr>
        <w:spacing w:line="360" w:lineRule="auto"/>
        <w:jc w:val="both"/>
      </w:pPr>
      <w:r w:rsidRPr="00DF326E">
        <w:t>Rozměry [</w:t>
      </w:r>
      <w:proofErr w:type="spellStart"/>
      <w:r w:rsidRPr="00DF326E">
        <w:t>DxŠxV</w:t>
      </w:r>
      <w:proofErr w:type="spellEnd"/>
      <w:r w:rsidRPr="00DF326E">
        <w:t xml:space="preserve">]: 90x36x57mm. </w:t>
      </w:r>
    </w:p>
    <w:p w14:paraId="0739819F" w14:textId="5D1D5E63" w:rsidR="00DF326E" w:rsidRPr="00DF326E" w:rsidRDefault="00DF326E" w:rsidP="00DF326E">
      <w:pPr>
        <w:pStyle w:val="Odstavecseseznamem"/>
        <w:numPr>
          <w:ilvl w:val="0"/>
          <w:numId w:val="22"/>
        </w:numPr>
        <w:spacing w:line="360" w:lineRule="auto"/>
        <w:jc w:val="both"/>
      </w:pPr>
      <w:r w:rsidRPr="00DF326E">
        <w:t>Krytí: IP20; zvýšení je možné instalací do připojeného zařízení nebo externí krabičky.</w:t>
      </w:r>
    </w:p>
    <w:sectPr w:rsidR="00DF326E" w:rsidRPr="00DF326E" w:rsidSect="00274903">
      <w:headerReference w:type="default" r:id="rId8"/>
      <w:footerReference w:type="default" r:id="rId9"/>
      <w:head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52F58C" w14:textId="77777777" w:rsidR="006A5397" w:rsidRDefault="006A5397" w:rsidP="0001491E">
      <w:r>
        <w:separator/>
      </w:r>
    </w:p>
  </w:endnote>
  <w:endnote w:type="continuationSeparator" w:id="0">
    <w:p w14:paraId="0474CDAA" w14:textId="77777777" w:rsidR="006A5397" w:rsidRDefault="006A5397" w:rsidP="000149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Lucida Console">
    <w:panose1 w:val="020B0609040504020204"/>
    <w:charset w:val="EE"/>
    <w:family w:val="modern"/>
    <w:pitch w:val="fixed"/>
    <w:sig w:usb0="8000028F" w:usb1="00001800" w:usb2="00000000" w:usb3="00000000" w:csb0="0000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szCs w:val="18"/>
      </w:rPr>
      <w:id w:val="726495043"/>
      <w:docPartObj>
        <w:docPartGallery w:val="Page Numbers (Bottom of Page)"/>
        <w:docPartUnique/>
      </w:docPartObj>
    </w:sdtPr>
    <w:sdtEndPr/>
    <w:sdtContent>
      <w:sdt>
        <w:sdtPr>
          <w:rPr>
            <w:sz w:val="18"/>
            <w:szCs w:val="18"/>
          </w:rPr>
          <w:id w:val="1728636285"/>
          <w:docPartObj>
            <w:docPartGallery w:val="Page Numbers (Top of Page)"/>
            <w:docPartUnique/>
          </w:docPartObj>
        </w:sdtPr>
        <w:sdtEndPr/>
        <w:sdtContent>
          <w:p w14:paraId="67138607" w14:textId="1A51679B" w:rsidR="0001491E" w:rsidRPr="0001491E" w:rsidRDefault="0001491E">
            <w:pPr>
              <w:pStyle w:val="Zpat"/>
              <w:jc w:val="center"/>
              <w:rPr>
                <w:sz w:val="18"/>
                <w:szCs w:val="18"/>
              </w:rPr>
            </w:pPr>
            <w:r w:rsidRPr="0001491E">
              <w:rPr>
                <w:sz w:val="18"/>
                <w:szCs w:val="18"/>
              </w:rPr>
              <w:t xml:space="preserve">Stránka </w:t>
            </w:r>
            <w:r w:rsidRPr="0001491E">
              <w:rPr>
                <w:b/>
                <w:bCs/>
                <w:sz w:val="18"/>
                <w:szCs w:val="18"/>
              </w:rPr>
              <w:fldChar w:fldCharType="begin"/>
            </w:r>
            <w:r w:rsidRPr="0001491E">
              <w:rPr>
                <w:b/>
                <w:bCs/>
                <w:sz w:val="18"/>
                <w:szCs w:val="18"/>
              </w:rPr>
              <w:instrText>PAGE</w:instrText>
            </w:r>
            <w:r w:rsidRPr="0001491E">
              <w:rPr>
                <w:b/>
                <w:bCs/>
                <w:sz w:val="18"/>
                <w:szCs w:val="18"/>
              </w:rPr>
              <w:fldChar w:fldCharType="separate"/>
            </w:r>
            <w:r w:rsidR="00517B3C">
              <w:rPr>
                <w:b/>
                <w:bCs/>
                <w:noProof/>
                <w:sz w:val="18"/>
                <w:szCs w:val="18"/>
              </w:rPr>
              <w:t>3</w:t>
            </w:r>
            <w:r w:rsidRPr="0001491E">
              <w:rPr>
                <w:b/>
                <w:bCs/>
                <w:sz w:val="18"/>
                <w:szCs w:val="18"/>
              </w:rPr>
              <w:fldChar w:fldCharType="end"/>
            </w:r>
            <w:r w:rsidRPr="0001491E">
              <w:rPr>
                <w:sz w:val="18"/>
                <w:szCs w:val="18"/>
              </w:rPr>
              <w:t xml:space="preserve"> z </w:t>
            </w:r>
            <w:r w:rsidRPr="0001491E">
              <w:rPr>
                <w:b/>
                <w:bCs/>
                <w:sz w:val="18"/>
                <w:szCs w:val="18"/>
              </w:rPr>
              <w:fldChar w:fldCharType="begin"/>
            </w:r>
            <w:r w:rsidRPr="0001491E">
              <w:rPr>
                <w:b/>
                <w:bCs/>
                <w:sz w:val="18"/>
                <w:szCs w:val="18"/>
              </w:rPr>
              <w:instrText>NUMPAGES</w:instrText>
            </w:r>
            <w:r w:rsidRPr="0001491E">
              <w:rPr>
                <w:b/>
                <w:bCs/>
                <w:sz w:val="18"/>
                <w:szCs w:val="18"/>
              </w:rPr>
              <w:fldChar w:fldCharType="separate"/>
            </w:r>
            <w:r w:rsidR="00517B3C">
              <w:rPr>
                <w:b/>
                <w:bCs/>
                <w:noProof/>
                <w:sz w:val="18"/>
                <w:szCs w:val="18"/>
              </w:rPr>
              <w:t>4</w:t>
            </w:r>
            <w:r w:rsidRPr="0001491E">
              <w:rPr>
                <w:b/>
                <w:bCs/>
                <w:sz w:val="18"/>
                <w:szCs w:val="18"/>
              </w:rPr>
              <w:fldChar w:fldCharType="end"/>
            </w:r>
          </w:p>
        </w:sdtContent>
      </w:sdt>
    </w:sdtContent>
  </w:sdt>
  <w:p w14:paraId="69497A86" w14:textId="3DBF1849" w:rsidR="0001491E" w:rsidRPr="0001491E" w:rsidRDefault="0001491E">
    <w:pPr>
      <w:pStyle w:val="Zpat"/>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F8891B" w14:textId="77777777" w:rsidR="006A5397" w:rsidRDefault="006A5397" w:rsidP="0001491E">
      <w:r>
        <w:separator/>
      </w:r>
    </w:p>
  </w:footnote>
  <w:footnote w:type="continuationSeparator" w:id="0">
    <w:p w14:paraId="727F0E4D" w14:textId="77777777" w:rsidR="006A5397" w:rsidRDefault="006A5397" w:rsidP="000149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9858E8" w14:textId="77777777" w:rsidR="00CD101E" w:rsidRDefault="00594F43" w:rsidP="00CD101E">
    <w:pPr>
      <w:spacing w:line="12" w:lineRule="auto"/>
      <w:rPr>
        <w:sz w:val="20"/>
        <w:szCs w:val="20"/>
      </w:rPr>
    </w:pPr>
    <w:r>
      <w:t xml:space="preserve">            </w:t>
    </w:r>
    <w:r w:rsidR="00CD101E">
      <w:rPr>
        <w:noProof/>
        <w:lang w:eastAsia="cs-CZ"/>
      </w:rPr>
      <w:drawing>
        <wp:anchor distT="0" distB="0" distL="114300" distR="114300" simplePos="0" relativeHeight="251663360" behindDoc="1" locked="0" layoutInCell="1" allowOverlap="1" wp14:anchorId="12E35416" wp14:editId="361D8B30">
          <wp:simplePos x="0" y="0"/>
          <wp:positionH relativeFrom="page">
            <wp:posOffset>5840730</wp:posOffset>
          </wp:positionH>
          <wp:positionV relativeFrom="page">
            <wp:posOffset>360045</wp:posOffset>
          </wp:positionV>
          <wp:extent cx="933450" cy="499110"/>
          <wp:effectExtent l="0" t="0" r="0" b="0"/>
          <wp:wrapNone/>
          <wp:docPr id="2104135047" name="Obrázek 2104135047" descr="Obsah obrázku text, Písmo, Grafika, log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ázek 6" descr="Obsah obrázku text, Písmo, Grafika, logo&#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3450" cy="499110"/>
                  </a:xfrm>
                  <a:prstGeom prst="rect">
                    <a:avLst/>
                  </a:prstGeom>
                  <a:noFill/>
                </pic:spPr>
              </pic:pic>
            </a:graphicData>
          </a:graphic>
          <wp14:sizeRelH relativeFrom="page">
            <wp14:pctWidth>0</wp14:pctWidth>
          </wp14:sizeRelH>
          <wp14:sizeRelV relativeFrom="page">
            <wp14:pctHeight>0</wp14:pctHeight>
          </wp14:sizeRelV>
        </wp:anchor>
      </w:drawing>
    </w:r>
    <w:r w:rsidR="00CD101E">
      <w:rPr>
        <w:noProof/>
        <w:lang w:eastAsia="cs-CZ"/>
      </w:rPr>
      <w:drawing>
        <wp:anchor distT="0" distB="0" distL="114300" distR="114300" simplePos="0" relativeHeight="251664384" behindDoc="1" locked="0" layoutInCell="1" allowOverlap="1" wp14:anchorId="26718273" wp14:editId="6BA63504">
          <wp:simplePos x="0" y="0"/>
          <wp:positionH relativeFrom="page">
            <wp:posOffset>720090</wp:posOffset>
          </wp:positionH>
          <wp:positionV relativeFrom="page">
            <wp:posOffset>398145</wp:posOffset>
          </wp:positionV>
          <wp:extent cx="1672590" cy="447675"/>
          <wp:effectExtent l="0" t="0" r="3810" b="9525"/>
          <wp:wrapNone/>
          <wp:docPr id="1407811128" name="Obrázek 1407811128" descr="Obsah obrázku text, Písmo, snímek obrazovky, Elektricky modrá&#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ázek 5" descr="Obsah obrázku text, Písmo, snímek obrazovky, Elektricky modrá&#10;&#10;Popis byl vytvořen automaticky"/>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72590" cy="447675"/>
                  </a:xfrm>
                  <a:prstGeom prst="rect">
                    <a:avLst/>
                  </a:prstGeom>
                  <a:noFill/>
                </pic:spPr>
              </pic:pic>
            </a:graphicData>
          </a:graphic>
          <wp14:sizeRelH relativeFrom="page">
            <wp14:pctWidth>0</wp14:pctWidth>
          </wp14:sizeRelH>
          <wp14:sizeRelV relativeFrom="page">
            <wp14:pctHeight>0</wp14:pctHeight>
          </wp14:sizeRelV>
        </wp:anchor>
      </w:drawing>
    </w:r>
    <w:r w:rsidR="00CD101E">
      <w:rPr>
        <w:noProof/>
        <w:lang w:eastAsia="cs-CZ"/>
      </w:rPr>
      <w:drawing>
        <wp:anchor distT="0" distB="0" distL="114300" distR="114300" simplePos="0" relativeHeight="251665408" behindDoc="1" locked="0" layoutInCell="1" allowOverlap="1" wp14:anchorId="624CBFFB" wp14:editId="356DDED2">
          <wp:simplePos x="0" y="0"/>
          <wp:positionH relativeFrom="page">
            <wp:posOffset>3448050</wp:posOffset>
          </wp:positionH>
          <wp:positionV relativeFrom="page">
            <wp:posOffset>398145</wp:posOffset>
          </wp:positionV>
          <wp:extent cx="1129665" cy="507365"/>
          <wp:effectExtent l="0" t="0" r="0" b="6985"/>
          <wp:wrapNone/>
          <wp:docPr id="1328481835" name="Obrázek 1328481835" descr="Obsah obrázku Písmo, Grafika, logo, symbol&#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4" descr="Obsah obrázku Písmo, Grafika, logo, symbol&#10;&#10;Popis byl vytvořen automaticky"/>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29665" cy="507365"/>
                  </a:xfrm>
                  <a:prstGeom prst="rect">
                    <a:avLst/>
                  </a:prstGeom>
                  <a:noFill/>
                </pic:spPr>
              </pic:pic>
            </a:graphicData>
          </a:graphic>
          <wp14:sizeRelH relativeFrom="page">
            <wp14:pctWidth>0</wp14:pctWidth>
          </wp14:sizeRelH>
          <wp14:sizeRelV relativeFrom="page">
            <wp14:pctHeight>0</wp14:pctHeight>
          </wp14:sizeRelV>
        </wp:anchor>
      </w:drawing>
    </w:r>
  </w:p>
  <w:p w14:paraId="60978B67" w14:textId="77777777" w:rsidR="00CD101E" w:rsidRDefault="00CD101E" w:rsidP="00CD101E">
    <w:pPr>
      <w:pStyle w:val="Zhlav"/>
    </w:pPr>
  </w:p>
  <w:p w14:paraId="30CBE76E" w14:textId="77777777" w:rsidR="00CD101E" w:rsidRDefault="00CD101E" w:rsidP="00CD101E">
    <w:pPr>
      <w:pStyle w:val="Zhlav"/>
    </w:pPr>
  </w:p>
  <w:p w14:paraId="197A27DA" w14:textId="77777777" w:rsidR="00CD101E" w:rsidRDefault="00CD101E" w:rsidP="00CD101E">
    <w:pPr>
      <w:pStyle w:val="Zhlav"/>
      <w:jc w:val="right"/>
      <w:rPr>
        <w:sz w:val="20"/>
        <w:szCs w:val="20"/>
      </w:rPr>
    </w:pPr>
  </w:p>
  <w:p w14:paraId="69361E49" w14:textId="629B7D24" w:rsidR="00594F43" w:rsidRPr="00CD101E" w:rsidRDefault="00CD101E" w:rsidP="00CD101E">
    <w:pPr>
      <w:pStyle w:val="Zhlav"/>
      <w:jc w:val="right"/>
      <w:rPr>
        <w:sz w:val="20"/>
        <w:szCs w:val="20"/>
      </w:rPr>
    </w:pPr>
    <w:r w:rsidRPr="00AB6417">
      <w:rPr>
        <w:sz w:val="20"/>
        <w:szCs w:val="20"/>
      </w:rPr>
      <w:t>Příloha č. 1a</w:t>
    </w:r>
    <w:r w:rsidR="00594F43">
      <w:t xml:space="preserve">                                                                                                                        </w:t>
    </w:r>
  </w:p>
  <w:p w14:paraId="2AD8156C" w14:textId="77777777" w:rsidR="00594F43" w:rsidRDefault="00594F4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96F65A" w14:textId="77777777" w:rsidR="000E302E" w:rsidRPr="00CD101E" w:rsidRDefault="000E302E" w:rsidP="000E302E">
    <w:pPr>
      <w:spacing w:line="12" w:lineRule="auto"/>
      <w:rPr>
        <w:b/>
        <w:bCs/>
        <w:sz w:val="20"/>
        <w:szCs w:val="20"/>
      </w:rPr>
    </w:pPr>
    <w:r w:rsidRPr="00CD101E">
      <w:rPr>
        <w:b/>
        <w:bCs/>
        <w:noProof/>
        <w:lang w:eastAsia="cs-CZ"/>
      </w:rPr>
      <w:drawing>
        <wp:anchor distT="0" distB="0" distL="114300" distR="114300" simplePos="0" relativeHeight="251659264" behindDoc="1" locked="0" layoutInCell="1" allowOverlap="1" wp14:anchorId="42C6590C" wp14:editId="4E52F68D">
          <wp:simplePos x="0" y="0"/>
          <wp:positionH relativeFrom="page">
            <wp:posOffset>5840730</wp:posOffset>
          </wp:positionH>
          <wp:positionV relativeFrom="page">
            <wp:posOffset>360045</wp:posOffset>
          </wp:positionV>
          <wp:extent cx="933450" cy="499110"/>
          <wp:effectExtent l="0" t="0" r="0" b="0"/>
          <wp:wrapNone/>
          <wp:docPr id="1483460447" name="Obrázek 1483460447" descr="Obsah obrázku text, Písmo, Grafika, log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ázek 6" descr="Obsah obrázku text, Písmo, Grafika, logo&#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3450" cy="499110"/>
                  </a:xfrm>
                  <a:prstGeom prst="rect">
                    <a:avLst/>
                  </a:prstGeom>
                  <a:noFill/>
                </pic:spPr>
              </pic:pic>
            </a:graphicData>
          </a:graphic>
          <wp14:sizeRelH relativeFrom="page">
            <wp14:pctWidth>0</wp14:pctWidth>
          </wp14:sizeRelH>
          <wp14:sizeRelV relativeFrom="page">
            <wp14:pctHeight>0</wp14:pctHeight>
          </wp14:sizeRelV>
        </wp:anchor>
      </w:drawing>
    </w:r>
    <w:r w:rsidRPr="00CD101E">
      <w:rPr>
        <w:b/>
        <w:bCs/>
        <w:noProof/>
        <w:lang w:eastAsia="cs-CZ"/>
      </w:rPr>
      <w:drawing>
        <wp:anchor distT="0" distB="0" distL="114300" distR="114300" simplePos="0" relativeHeight="251660288" behindDoc="1" locked="0" layoutInCell="1" allowOverlap="1" wp14:anchorId="5FC96D37" wp14:editId="4D6FC9B2">
          <wp:simplePos x="0" y="0"/>
          <wp:positionH relativeFrom="page">
            <wp:posOffset>720090</wp:posOffset>
          </wp:positionH>
          <wp:positionV relativeFrom="page">
            <wp:posOffset>398145</wp:posOffset>
          </wp:positionV>
          <wp:extent cx="1672590" cy="447675"/>
          <wp:effectExtent l="0" t="0" r="3810" b="9525"/>
          <wp:wrapNone/>
          <wp:docPr id="1058268046" name="Obrázek 1058268046" descr="Obsah obrázku text, Písmo, snímek obrazovky, Elektricky modrá&#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ázek 5" descr="Obsah obrázku text, Písmo, snímek obrazovky, Elektricky modrá&#10;&#10;Popis byl vytvořen automaticky"/>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72590" cy="447675"/>
                  </a:xfrm>
                  <a:prstGeom prst="rect">
                    <a:avLst/>
                  </a:prstGeom>
                  <a:noFill/>
                </pic:spPr>
              </pic:pic>
            </a:graphicData>
          </a:graphic>
          <wp14:sizeRelH relativeFrom="page">
            <wp14:pctWidth>0</wp14:pctWidth>
          </wp14:sizeRelH>
          <wp14:sizeRelV relativeFrom="page">
            <wp14:pctHeight>0</wp14:pctHeight>
          </wp14:sizeRelV>
        </wp:anchor>
      </w:drawing>
    </w:r>
    <w:r w:rsidRPr="00CD101E">
      <w:rPr>
        <w:b/>
        <w:bCs/>
        <w:noProof/>
        <w:lang w:eastAsia="cs-CZ"/>
      </w:rPr>
      <w:drawing>
        <wp:anchor distT="0" distB="0" distL="114300" distR="114300" simplePos="0" relativeHeight="251661312" behindDoc="1" locked="0" layoutInCell="1" allowOverlap="1" wp14:anchorId="54998F06" wp14:editId="2210BF75">
          <wp:simplePos x="0" y="0"/>
          <wp:positionH relativeFrom="page">
            <wp:posOffset>3448050</wp:posOffset>
          </wp:positionH>
          <wp:positionV relativeFrom="page">
            <wp:posOffset>398145</wp:posOffset>
          </wp:positionV>
          <wp:extent cx="1129665" cy="507365"/>
          <wp:effectExtent l="0" t="0" r="0" b="6985"/>
          <wp:wrapNone/>
          <wp:docPr id="1342037870" name="Obrázek 1342037870" descr="Obsah obrázku Písmo, Grafika, logo, symbol&#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4" descr="Obsah obrázku Písmo, Grafika, logo, symbol&#10;&#10;Popis byl vytvořen automaticky"/>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29665" cy="507365"/>
                  </a:xfrm>
                  <a:prstGeom prst="rect">
                    <a:avLst/>
                  </a:prstGeom>
                  <a:noFill/>
                </pic:spPr>
              </pic:pic>
            </a:graphicData>
          </a:graphic>
          <wp14:sizeRelH relativeFrom="page">
            <wp14:pctWidth>0</wp14:pctWidth>
          </wp14:sizeRelH>
          <wp14:sizeRelV relativeFrom="page">
            <wp14:pctHeight>0</wp14:pctHeight>
          </wp14:sizeRelV>
        </wp:anchor>
      </w:drawing>
    </w:r>
  </w:p>
  <w:p w14:paraId="7575C9A9" w14:textId="77777777" w:rsidR="000E302E" w:rsidRPr="00CD101E" w:rsidRDefault="000E302E" w:rsidP="000E302E">
    <w:pPr>
      <w:pStyle w:val="Zhlav"/>
      <w:rPr>
        <w:b/>
        <w:bCs/>
      </w:rPr>
    </w:pPr>
  </w:p>
  <w:p w14:paraId="0BA8B8F6" w14:textId="77777777" w:rsidR="000E302E" w:rsidRPr="00CD101E" w:rsidRDefault="000E302E">
    <w:pPr>
      <w:pStyle w:val="Zhlav"/>
      <w:rPr>
        <w:b/>
        <w:bCs/>
      </w:rPr>
    </w:pPr>
  </w:p>
  <w:p w14:paraId="163B19A2" w14:textId="77777777" w:rsidR="00AB6417" w:rsidRPr="00CD101E" w:rsidRDefault="00AB6417" w:rsidP="00AB6417">
    <w:pPr>
      <w:pStyle w:val="Zhlav"/>
      <w:jc w:val="right"/>
      <w:rPr>
        <w:b/>
        <w:bCs/>
        <w:sz w:val="20"/>
        <w:szCs w:val="20"/>
      </w:rPr>
    </w:pPr>
  </w:p>
  <w:p w14:paraId="24C8875D" w14:textId="4CB46C4C" w:rsidR="00AB6417" w:rsidRPr="00324411" w:rsidRDefault="00AB6417" w:rsidP="00AB6417">
    <w:pPr>
      <w:pStyle w:val="Zhlav"/>
      <w:jc w:val="right"/>
      <w:rPr>
        <w:b/>
        <w:bCs/>
      </w:rPr>
    </w:pPr>
    <w:r w:rsidRPr="00324411">
      <w:rPr>
        <w:b/>
        <w:bCs/>
      </w:rPr>
      <w:t>Příloha č. 1a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E1293B53"/>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89"/>
    <w:multiLevelType w:val="singleLevel"/>
    <w:tmpl w:val="3334BF06"/>
    <w:lvl w:ilvl="0">
      <w:start w:val="1"/>
      <w:numFmt w:val="bullet"/>
      <w:pStyle w:val="Seznamsodrkami"/>
      <w:lvlText w:val=""/>
      <w:lvlJc w:val="left"/>
      <w:pPr>
        <w:tabs>
          <w:tab w:val="num" w:pos="360"/>
        </w:tabs>
        <w:ind w:left="360" w:hanging="360"/>
      </w:pPr>
      <w:rPr>
        <w:rFonts w:ascii="Symbol" w:hAnsi="Symbol" w:hint="default"/>
      </w:rPr>
    </w:lvl>
  </w:abstractNum>
  <w:abstractNum w:abstractNumId="2" w15:restartNumberingAfterBreak="0">
    <w:nsid w:val="08781FD9"/>
    <w:multiLevelType w:val="hybridMultilevel"/>
    <w:tmpl w:val="AAA071CC"/>
    <w:lvl w:ilvl="0" w:tplc="03460F7E">
      <w:numFmt w:val="bullet"/>
      <w:lvlText w:val="•"/>
      <w:lvlJc w:val="left"/>
      <w:pPr>
        <w:ind w:left="1065" w:hanging="705"/>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8985B41"/>
    <w:multiLevelType w:val="hybridMultilevel"/>
    <w:tmpl w:val="280A501E"/>
    <w:lvl w:ilvl="0" w:tplc="C952ED18">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92E6A0B"/>
    <w:multiLevelType w:val="hybridMultilevel"/>
    <w:tmpl w:val="08B8EC6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B216BCE"/>
    <w:multiLevelType w:val="hybridMultilevel"/>
    <w:tmpl w:val="379CCAB8"/>
    <w:lvl w:ilvl="0" w:tplc="C952ED1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EFF5D6A"/>
    <w:multiLevelType w:val="hybridMultilevel"/>
    <w:tmpl w:val="6A9A1788"/>
    <w:lvl w:ilvl="0" w:tplc="C952ED18">
      <w:numFmt w:val="bullet"/>
      <w:lvlText w:val="-"/>
      <w:lvlJc w:val="left"/>
      <w:pPr>
        <w:ind w:left="720" w:hanging="360"/>
      </w:pPr>
      <w:rPr>
        <w:rFonts w:ascii="Calibri" w:eastAsiaTheme="minorHAnsi" w:hAnsi="Calibri" w:cs="Calibri" w:hint="default"/>
      </w:rPr>
    </w:lvl>
    <w:lvl w:ilvl="1" w:tplc="3AFEB1C8">
      <w:numFmt w:val="bullet"/>
      <w:lvlText w:val="•"/>
      <w:lvlJc w:val="left"/>
      <w:pPr>
        <w:ind w:left="1785" w:hanging="705"/>
      </w:pPr>
      <w:rPr>
        <w:rFonts w:ascii="Calibri" w:eastAsiaTheme="minorHAnsi" w:hAnsi="Calibri" w:cs="Calibr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F1B7361"/>
    <w:multiLevelType w:val="hybridMultilevel"/>
    <w:tmpl w:val="51B896DA"/>
    <w:lvl w:ilvl="0" w:tplc="678A98EE">
      <w:numFmt w:val="bullet"/>
      <w:lvlText w:val="•"/>
      <w:lvlJc w:val="left"/>
      <w:pPr>
        <w:ind w:left="1065" w:hanging="705"/>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B1E4D00"/>
    <w:multiLevelType w:val="hybridMultilevel"/>
    <w:tmpl w:val="4F62F128"/>
    <w:lvl w:ilvl="0" w:tplc="C952ED18">
      <w:numFmt w:val="bullet"/>
      <w:lvlText w:val="-"/>
      <w:lvlJc w:val="left"/>
      <w:pPr>
        <w:ind w:left="72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3950049B"/>
    <w:multiLevelType w:val="hybridMultilevel"/>
    <w:tmpl w:val="C526EB1E"/>
    <w:lvl w:ilvl="0" w:tplc="C952ED18">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BF03203"/>
    <w:multiLevelType w:val="hybridMultilevel"/>
    <w:tmpl w:val="BC48B5C8"/>
    <w:lvl w:ilvl="0" w:tplc="C952ED1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D9363C4"/>
    <w:multiLevelType w:val="hybridMultilevel"/>
    <w:tmpl w:val="56E62716"/>
    <w:lvl w:ilvl="0" w:tplc="C952ED1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F1B2C66"/>
    <w:multiLevelType w:val="hybridMultilevel"/>
    <w:tmpl w:val="6E4EFE8C"/>
    <w:lvl w:ilvl="0" w:tplc="FFFFFFFF">
      <w:numFmt w:val="bullet"/>
      <w:lvlText w:val="-"/>
      <w:lvlJc w:val="left"/>
      <w:pPr>
        <w:ind w:left="720" w:hanging="360"/>
      </w:pPr>
      <w:rPr>
        <w:rFonts w:ascii="Calibri" w:eastAsiaTheme="minorHAnsi" w:hAnsi="Calibri" w:cs="Calibri" w:hint="default"/>
      </w:rPr>
    </w:lvl>
    <w:lvl w:ilvl="1" w:tplc="C952ED18">
      <w:numFmt w:val="bullet"/>
      <w:lvlText w:val="-"/>
      <w:lvlJc w:val="left"/>
      <w:pPr>
        <w:ind w:left="720" w:hanging="360"/>
      </w:pPr>
      <w:rPr>
        <w:rFonts w:ascii="Calibri" w:eastAsiaTheme="minorHAnsi"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40C17A64"/>
    <w:multiLevelType w:val="hybridMultilevel"/>
    <w:tmpl w:val="98ECF9C0"/>
    <w:lvl w:ilvl="0" w:tplc="AA04FD1A">
      <w:start w:val="2"/>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E722BD8"/>
    <w:multiLevelType w:val="hybridMultilevel"/>
    <w:tmpl w:val="F6465EE0"/>
    <w:lvl w:ilvl="0" w:tplc="C8448454">
      <w:numFmt w:val="bullet"/>
      <w:lvlText w:val="•"/>
      <w:lvlJc w:val="left"/>
      <w:pPr>
        <w:ind w:left="1065" w:hanging="705"/>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F314EC4"/>
    <w:multiLevelType w:val="hybridMultilevel"/>
    <w:tmpl w:val="E0D4C1FC"/>
    <w:lvl w:ilvl="0" w:tplc="C952ED1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0B97A26"/>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617B05A0"/>
    <w:multiLevelType w:val="hybridMultilevel"/>
    <w:tmpl w:val="29585C22"/>
    <w:lvl w:ilvl="0" w:tplc="C952ED18">
      <w:numFmt w:val="bullet"/>
      <w:lvlText w:val="-"/>
      <w:lvlJc w:val="left"/>
      <w:rPr>
        <w:rFonts w:ascii="Calibri" w:eastAsiaTheme="minorHAnsi" w:hAnsi="Calibri" w:cs="Calibri"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65E3774A"/>
    <w:multiLevelType w:val="hybridMultilevel"/>
    <w:tmpl w:val="411C437A"/>
    <w:lvl w:ilvl="0" w:tplc="C952ED1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6B27A52"/>
    <w:multiLevelType w:val="hybridMultilevel"/>
    <w:tmpl w:val="FB80FA30"/>
    <w:lvl w:ilvl="0" w:tplc="C952ED18">
      <w:numFmt w:val="bullet"/>
      <w:lvlText w:val="-"/>
      <w:lvlJc w:val="left"/>
      <w:rPr>
        <w:rFonts w:ascii="Calibri" w:eastAsiaTheme="minorHAnsi" w:hAnsi="Calibri" w:cs="Calibri"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738A4E51"/>
    <w:multiLevelType w:val="hybridMultilevel"/>
    <w:tmpl w:val="5C06E112"/>
    <w:lvl w:ilvl="0" w:tplc="C952ED1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8BBCD55"/>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360252842">
    <w:abstractNumId w:val="5"/>
  </w:num>
  <w:num w:numId="2" w16cid:durableId="1157185768">
    <w:abstractNumId w:val="15"/>
  </w:num>
  <w:num w:numId="3" w16cid:durableId="61758160">
    <w:abstractNumId w:val="20"/>
  </w:num>
  <w:num w:numId="4" w16cid:durableId="1466393202">
    <w:abstractNumId w:val="2"/>
  </w:num>
  <w:num w:numId="5" w16cid:durableId="819813327">
    <w:abstractNumId w:val="6"/>
  </w:num>
  <w:num w:numId="6" w16cid:durableId="1013192435">
    <w:abstractNumId w:val="14"/>
  </w:num>
  <w:num w:numId="7" w16cid:durableId="1918318794">
    <w:abstractNumId w:val="18"/>
  </w:num>
  <w:num w:numId="8" w16cid:durableId="1144421363">
    <w:abstractNumId w:val="7"/>
  </w:num>
  <w:num w:numId="9" w16cid:durableId="29497247">
    <w:abstractNumId w:val="9"/>
  </w:num>
  <w:num w:numId="10" w16cid:durableId="2022314333">
    <w:abstractNumId w:val="12"/>
  </w:num>
  <w:num w:numId="11" w16cid:durableId="1797408662">
    <w:abstractNumId w:val="3"/>
  </w:num>
  <w:num w:numId="12" w16cid:durableId="903374895">
    <w:abstractNumId w:val="11"/>
  </w:num>
  <w:num w:numId="13" w16cid:durableId="1131098408">
    <w:abstractNumId w:val="0"/>
  </w:num>
  <w:num w:numId="14" w16cid:durableId="1625691260">
    <w:abstractNumId w:val="21"/>
  </w:num>
  <w:num w:numId="15" w16cid:durableId="1096051856">
    <w:abstractNumId w:val="16"/>
  </w:num>
  <w:num w:numId="16" w16cid:durableId="1040588612">
    <w:abstractNumId w:val="10"/>
  </w:num>
  <w:num w:numId="17" w16cid:durableId="977882077">
    <w:abstractNumId w:val="17"/>
  </w:num>
  <w:num w:numId="18" w16cid:durableId="193151335">
    <w:abstractNumId w:val="19"/>
  </w:num>
  <w:num w:numId="19" w16cid:durableId="901334279">
    <w:abstractNumId w:val="1"/>
  </w:num>
  <w:num w:numId="20" w16cid:durableId="1619920339">
    <w:abstractNumId w:val="13"/>
  </w:num>
  <w:num w:numId="21" w16cid:durableId="952244498">
    <w:abstractNumId w:val="4"/>
  </w:num>
  <w:num w:numId="22" w16cid:durableId="80959399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6ED0"/>
    <w:rsid w:val="00007309"/>
    <w:rsid w:val="000129F7"/>
    <w:rsid w:val="000142B8"/>
    <w:rsid w:val="0001491E"/>
    <w:rsid w:val="00016024"/>
    <w:rsid w:val="00053117"/>
    <w:rsid w:val="000621E4"/>
    <w:rsid w:val="0006290B"/>
    <w:rsid w:val="000724AA"/>
    <w:rsid w:val="0007256D"/>
    <w:rsid w:val="00083793"/>
    <w:rsid w:val="00087AAB"/>
    <w:rsid w:val="00090460"/>
    <w:rsid w:val="0009253C"/>
    <w:rsid w:val="000B05FF"/>
    <w:rsid w:val="000D6ACB"/>
    <w:rsid w:val="000E05A2"/>
    <w:rsid w:val="000E0DA5"/>
    <w:rsid w:val="000E224D"/>
    <w:rsid w:val="000E248E"/>
    <w:rsid w:val="000E302E"/>
    <w:rsid w:val="000E75CC"/>
    <w:rsid w:val="000F1F4C"/>
    <w:rsid w:val="00134DBC"/>
    <w:rsid w:val="00145565"/>
    <w:rsid w:val="00153DA5"/>
    <w:rsid w:val="001810FB"/>
    <w:rsid w:val="00184193"/>
    <w:rsid w:val="00195D07"/>
    <w:rsid w:val="001A593D"/>
    <w:rsid w:val="001C6C81"/>
    <w:rsid w:val="001F42D3"/>
    <w:rsid w:val="00201B9B"/>
    <w:rsid w:val="00207A68"/>
    <w:rsid w:val="002421E0"/>
    <w:rsid w:val="00274903"/>
    <w:rsid w:val="002B0603"/>
    <w:rsid w:val="002D015A"/>
    <w:rsid w:val="002E51DA"/>
    <w:rsid w:val="003026E7"/>
    <w:rsid w:val="00324411"/>
    <w:rsid w:val="0033078A"/>
    <w:rsid w:val="00332769"/>
    <w:rsid w:val="00336ED0"/>
    <w:rsid w:val="00344B3B"/>
    <w:rsid w:val="003603ED"/>
    <w:rsid w:val="003630A4"/>
    <w:rsid w:val="003742B0"/>
    <w:rsid w:val="00381D7B"/>
    <w:rsid w:val="00393678"/>
    <w:rsid w:val="003A4DC7"/>
    <w:rsid w:val="003A5CBD"/>
    <w:rsid w:val="003B722F"/>
    <w:rsid w:val="003B7466"/>
    <w:rsid w:val="003F666A"/>
    <w:rsid w:val="004308EB"/>
    <w:rsid w:val="00430954"/>
    <w:rsid w:val="00440731"/>
    <w:rsid w:val="0044169F"/>
    <w:rsid w:val="0044173A"/>
    <w:rsid w:val="00457D27"/>
    <w:rsid w:val="00480863"/>
    <w:rsid w:val="004F6667"/>
    <w:rsid w:val="00517B3C"/>
    <w:rsid w:val="00552A3A"/>
    <w:rsid w:val="00562FE4"/>
    <w:rsid w:val="005659DF"/>
    <w:rsid w:val="00565C87"/>
    <w:rsid w:val="005700CF"/>
    <w:rsid w:val="00594F43"/>
    <w:rsid w:val="005A16F5"/>
    <w:rsid w:val="005A58BA"/>
    <w:rsid w:val="005B6A51"/>
    <w:rsid w:val="005C533A"/>
    <w:rsid w:val="005E2CE8"/>
    <w:rsid w:val="005E4308"/>
    <w:rsid w:val="006038BB"/>
    <w:rsid w:val="006123E6"/>
    <w:rsid w:val="00625C5C"/>
    <w:rsid w:val="00626321"/>
    <w:rsid w:val="00641662"/>
    <w:rsid w:val="0064354E"/>
    <w:rsid w:val="006543D9"/>
    <w:rsid w:val="00671D21"/>
    <w:rsid w:val="00673EE1"/>
    <w:rsid w:val="006A5312"/>
    <w:rsid w:val="006A5397"/>
    <w:rsid w:val="006A5B6C"/>
    <w:rsid w:val="007238C0"/>
    <w:rsid w:val="00740DFF"/>
    <w:rsid w:val="00774CE1"/>
    <w:rsid w:val="00776063"/>
    <w:rsid w:val="007A0874"/>
    <w:rsid w:val="007C602A"/>
    <w:rsid w:val="007F6B07"/>
    <w:rsid w:val="00824927"/>
    <w:rsid w:val="008255F4"/>
    <w:rsid w:val="00834634"/>
    <w:rsid w:val="00845FA9"/>
    <w:rsid w:val="00855841"/>
    <w:rsid w:val="00867BAB"/>
    <w:rsid w:val="0087684A"/>
    <w:rsid w:val="00884055"/>
    <w:rsid w:val="00890C1C"/>
    <w:rsid w:val="008A7D5D"/>
    <w:rsid w:val="008F2036"/>
    <w:rsid w:val="00912CC9"/>
    <w:rsid w:val="00917042"/>
    <w:rsid w:val="009239DC"/>
    <w:rsid w:val="00932375"/>
    <w:rsid w:val="00943AD0"/>
    <w:rsid w:val="00943F6F"/>
    <w:rsid w:val="009555E5"/>
    <w:rsid w:val="00960EE4"/>
    <w:rsid w:val="0096733F"/>
    <w:rsid w:val="00972AF6"/>
    <w:rsid w:val="00990B1C"/>
    <w:rsid w:val="009939E8"/>
    <w:rsid w:val="009A0901"/>
    <w:rsid w:val="009A3051"/>
    <w:rsid w:val="009C2054"/>
    <w:rsid w:val="009F4811"/>
    <w:rsid w:val="009F75E7"/>
    <w:rsid w:val="00A05FE8"/>
    <w:rsid w:val="00A23F8B"/>
    <w:rsid w:val="00A315BA"/>
    <w:rsid w:val="00A32ED0"/>
    <w:rsid w:val="00A51B79"/>
    <w:rsid w:val="00A5501A"/>
    <w:rsid w:val="00A6246C"/>
    <w:rsid w:val="00A63AFD"/>
    <w:rsid w:val="00A84EA8"/>
    <w:rsid w:val="00AB22FB"/>
    <w:rsid w:val="00AB3FC1"/>
    <w:rsid w:val="00AB6417"/>
    <w:rsid w:val="00AD3BB2"/>
    <w:rsid w:val="00AE488A"/>
    <w:rsid w:val="00AF6188"/>
    <w:rsid w:val="00AF6DEC"/>
    <w:rsid w:val="00B164A1"/>
    <w:rsid w:val="00B416B3"/>
    <w:rsid w:val="00B52C67"/>
    <w:rsid w:val="00B600D9"/>
    <w:rsid w:val="00B63182"/>
    <w:rsid w:val="00B707DF"/>
    <w:rsid w:val="00B70EB6"/>
    <w:rsid w:val="00BA00A6"/>
    <w:rsid w:val="00BA0752"/>
    <w:rsid w:val="00BC6340"/>
    <w:rsid w:val="00BE068B"/>
    <w:rsid w:val="00BF7D06"/>
    <w:rsid w:val="00C116B5"/>
    <w:rsid w:val="00C208AD"/>
    <w:rsid w:val="00C32DF1"/>
    <w:rsid w:val="00C5649E"/>
    <w:rsid w:val="00C93D24"/>
    <w:rsid w:val="00CA6A22"/>
    <w:rsid w:val="00CD101E"/>
    <w:rsid w:val="00CD3D80"/>
    <w:rsid w:val="00CD40C3"/>
    <w:rsid w:val="00CE31A3"/>
    <w:rsid w:val="00CF27C9"/>
    <w:rsid w:val="00CF2F74"/>
    <w:rsid w:val="00CF4575"/>
    <w:rsid w:val="00D109FE"/>
    <w:rsid w:val="00D22C1E"/>
    <w:rsid w:val="00D2623C"/>
    <w:rsid w:val="00D3321B"/>
    <w:rsid w:val="00D5075F"/>
    <w:rsid w:val="00D5618B"/>
    <w:rsid w:val="00D61C6D"/>
    <w:rsid w:val="00D666CA"/>
    <w:rsid w:val="00D745F5"/>
    <w:rsid w:val="00D754E6"/>
    <w:rsid w:val="00DA0F03"/>
    <w:rsid w:val="00DF326E"/>
    <w:rsid w:val="00DF3333"/>
    <w:rsid w:val="00E13D57"/>
    <w:rsid w:val="00E336DF"/>
    <w:rsid w:val="00E37D23"/>
    <w:rsid w:val="00E71EEC"/>
    <w:rsid w:val="00E80FA4"/>
    <w:rsid w:val="00E8356D"/>
    <w:rsid w:val="00EC36C6"/>
    <w:rsid w:val="00EC5EE4"/>
    <w:rsid w:val="00ED7E96"/>
    <w:rsid w:val="00EE22C4"/>
    <w:rsid w:val="00EE399C"/>
    <w:rsid w:val="00EF2C45"/>
    <w:rsid w:val="00EF42B4"/>
    <w:rsid w:val="00F16C52"/>
    <w:rsid w:val="00F17488"/>
    <w:rsid w:val="00F464FC"/>
    <w:rsid w:val="00F67AEF"/>
    <w:rsid w:val="00FB1EBF"/>
    <w:rsid w:val="00FC2A0D"/>
    <w:rsid w:val="00FC303A"/>
    <w:rsid w:val="00FD2B4A"/>
    <w:rsid w:val="00FD4C12"/>
    <w:rsid w:val="00FE71EA"/>
    <w:rsid w:val="00FE7A4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B0B94C2"/>
  <w15:chartTrackingRefBased/>
  <w15:docId w15:val="{10F227CF-1B6E-4A1A-BA46-0EFFCC780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95D07"/>
    <w:pPr>
      <w:spacing w:after="0" w:line="240" w:lineRule="auto"/>
    </w:pPr>
  </w:style>
  <w:style w:type="paragraph" w:styleId="Nadpis1">
    <w:name w:val="heading 1"/>
    <w:basedOn w:val="Normln"/>
    <w:next w:val="Normln"/>
    <w:link w:val="Nadpis1Char"/>
    <w:uiPriority w:val="9"/>
    <w:qFormat/>
    <w:rsid w:val="0096733F"/>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A63AFD"/>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195D07"/>
    <w:pPr>
      <w:spacing w:after="160" w:line="259" w:lineRule="auto"/>
      <w:ind w:left="720"/>
      <w:contextualSpacing/>
    </w:pPr>
  </w:style>
  <w:style w:type="table" w:styleId="Mkatabulky">
    <w:name w:val="Table Grid"/>
    <w:basedOn w:val="Normlntabulka"/>
    <w:uiPriority w:val="39"/>
    <w:rsid w:val="00195D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ulek">
    <w:name w:val="caption"/>
    <w:basedOn w:val="Normln"/>
    <w:next w:val="Normln"/>
    <w:uiPriority w:val="35"/>
    <w:unhideWhenUsed/>
    <w:qFormat/>
    <w:rsid w:val="00090460"/>
    <w:pPr>
      <w:spacing w:after="120"/>
    </w:pPr>
    <w:rPr>
      <w:rFonts w:eastAsiaTheme="minorEastAsia"/>
      <w:b/>
      <w:bCs/>
      <w:color w:val="404040" w:themeColor="text1" w:themeTint="BF"/>
      <w:sz w:val="20"/>
      <w:szCs w:val="20"/>
      <w:lang w:eastAsia="cs-CZ"/>
    </w:rPr>
  </w:style>
  <w:style w:type="paragraph" w:styleId="Bezmezer">
    <w:name w:val="No Spacing"/>
    <w:link w:val="BezmezerChar"/>
    <w:uiPriority w:val="1"/>
    <w:qFormat/>
    <w:rsid w:val="00090460"/>
    <w:pPr>
      <w:spacing w:after="0" w:line="240" w:lineRule="auto"/>
    </w:pPr>
    <w:rPr>
      <w:rFonts w:eastAsiaTheme="minorEastAsia"/>
      <w:sz w:val="21"/>
      <w:szCs w:val="21"/>
      <w:lang w:eastAsia="cs-CZ"/>
    </w:rPr>
  </w:style>
  <w:style w:type="paragraph" w:styleId="Zhlav">
    <w:name w:val="header"/>
    <w:basedOn w:val="Normln"/>
    <w:link w:val="ZhlavChar"/>
    <w:uiPriority w:val="99"/>
    <w:unhideWhenUsed/>
    <w:rsid w:val="0001491E"/>
    <w:pPr>
      <w:tabs>
        <w:tab w:val="center" w:pos="4536"/>
        <w:tab w:val="right" w:pos="9072"/>
      </w:tabs>
    </w:pPr>
  </w:style>
  <w:style w:type="character" w:customStyle="1" w:styleId="ZhlavChar">
    <w:name w:val="Záhlaví Char"/>
    <w:basedOn w:val="Standardnpsmoodstavce"/>
    <w:link w:val="Zhlav"/>
    <w:uiPriority w:val="99"/>
    <w:rsid w:val="0001491E"/>
  </w:style>
  <w:style w:type="paragraph" w:styleId="Zpat">
    <w:name w:val="footer"/>
    <w:basedOn w:val="Normln"/>
    <w:link w:val="ZpatChar"/>
    <w:uiPriority w:val="99"/>
    <w:unhideWhenUsed/>
    <w:rsid w:val="0001491E"/>
    <w:pPr>
      <w:tabs>
        <w:tab w:val="center" w:pos="4536"/>
        <w:tab w:val="right" w:pos="9072"/>
      </w:tabs>
    </w:pPr>
  </w:style>
  <w:style w:type="character" w:customStyle="1" w:styleId="ZpatChar">
    <w:name w:val="Zápatí Char"/>
    <w:basedOn w:val="Standardnpsmoodstavce"/>
    <w:link w:val="Zpat"/>
    <w:uiPriority w:val="99"/>
    <w:rsid w:val="0001491E"/>
  </w:style>
  <w:style w:type="paragraph" w:customStyle="1" w:styleId="Default">
    <w:name w:val="Default"/>
    <w:rsid w:val="007A0874"/>
    <w:pPr>
      <w:autoSpaceDE w:val="0"/>
      <w:autoSpaceDN w:val="0"/>
      <w:adjustRightInd w:val="0"/>
      <w:spacing w:after="0" w:line="240" w:lineRule="auto"/>
    </w:pPr>
    <w:rPr>
      <w:rFonts w:ascii="Calibri" w:hAnsi="Calibri" w:cs="Calibri"/>
      <w:color w:val="000000"/>
      <w:sz w:val="24"/>
      <w:szCs w:val="24"/>
    </w:rPr>
  </w:style>
  <w:style w:type="character" w:customStyle="1" w:styleId="BezmezerChar">
    <w:name w:val="Bez mezer Char"/>
    <w:basedOn w:val="Standardnpsmoodstavce"/>
    <w:link w:val="Bezmezer"/>
    <w:uiPriority w:val="1"/>
    <w:qFormat/>
    <w:rsid w:val="00594F43"/>
    <w:rPr>
      <w:rFonts w:eastAsiaTheme="minorEastAsia"/>
      <w:sz w:val="21"/>
      <w:szCs w:val="21"/>
      <w:lang w:eastAsia="cs-CZ"/>
    </w:rPr>
  </w:style>
  <w:style w:type="character" w:customStyle="1" w:styleId="Nadpis1Char">
    <w:name w:val="Nadpis 1 Char"/>
    <w:basedOn w:val="Standardnpsmoodstavce"/>
    <w:link w:val="Nadpis1"/>
    <w:uiPriority w:val="9"/>
    <w:rsid w:val="0096733F"/>
    <w:rPr>
      <w:rFonts w:asciiTheme="majorHAnsi" w:eastAsiaTheme="majorEastAsia" w:hAnsiTheme="majorHAnsi" w:cstheme="majorBidi"/>
      <w:color w:val="2F5496" w:themeColor="accent1" w:themeShade="BF"/>
      <w:sz w:val="32"/>
      <w:szCs w:val="32"/>
    </w:rPr>
  </w:style>
  <w:style w:type="paragraph" w:styleId="Nadpisobsahu">
    <w:name w:val="TOC Heading"/>
    <w:basedOn w:val="Nadpis1"/>
    <w:next w:val="Normln"/>
    <w:uiPriority w:val="39"/>
    <w:unhideWhenUsed/>
    <w:qFormat/>
    <w:rsid w:val="0096733F"/>
    <w:pPr>
      <w:spacing w:line="259" w:lineRule="auto"/>
      <w:outlineLvl w:val="9"/>
    </w:pPr>
    <w:rPr>
      <w:lang w:eastAsia="cs-CZ"/>
    </w:rPr>
  </w:style>
  <w:style w:type="paragraph" w:styleId="Seznamsodrkami">
    <w:name w:val="List Bullet"/>
    <w:basedOn w:val="Normln"/>
    <w:uiPriority w:val="99"/>
    <w:unhideWhenUsed/>
    <w:rsid w:val="0096733F"/>
    <w:pPr>
      <w:numPr>
        <w:numId w:val="19"/>
      </w:numPr>
      <w:spacing w:before="120" w:after="120" w:line="259" w:lineRule="auto"/>
      <w:contextualSpacing/>
      <w:jc w:val="both"/>
    </w:pPr>
  </w:style>
  <w:style w:type="paragraph" w:styleId="Obsah1">
    <w:name w:val="toc 1"/>
    <w:basedOn w:val="Normln"/>
    <w:next w:val="Normln"/>
    <w:autoRedefine/>
    <w:uiPriority w:val="39"/>
    <w:unhideWhenUsed/>
    <w:rsid w:val="0096733F"/>
    <w:pPr>
      <w:spacing w:after="100"/>
    </w:pPr>
  </w:style>
  <w:style w:type="character" w:styleId="Hypertextovodkaz">
    <w:name w:val="Hyperlink"/>
    <w:basedOn w:val="Standardnpsmoodstavce"/>
    <w:uiPriority w:val="99"/>
    <w:unhideWhenUsed/>
    <w:rsid w:val="0096733F"/>
    <w:rPr>
      <w:color w:val="0563C1" w:themeColor="hyperlink"/>
      <w:u w:val="single"/>
    </w:rPr>
  </w:style>
  <w:style w:type="character" w:customStyle="1" w:styleId="Nadpis2Char">
    <w:name w:val="Nadpis 2 Char"/>
    <w:basedOn w:val="Standardnpsmoodstavce"/>
    <w:link w:val="Nadpis2"/>
    <w:uiPriority w:val="9"/>
    <w:rsid w:val="00A63AFD"/>
    <w:rPr>
      <w:rFonts w:asciiTheme="majorHAnsi" w:eastAsiaTheme="majorEastAsia" w:hAnsiTheme="majorHAnsi" w:cstheme="majorBidi"/>
      <w:color w:val="2F5496" w:themeColor="accent1" w:themeShade="BF"/>
      <w:sz w:val="26"/>
      <w:szCs w:val="26"/>
    </w:rPr>
  </w:style>
  <w:style w:type="paragraph" w:styleId="Obsah2">
    <w:name w:val="toc 2"/>
    <w:basedOn w:val="Normln"/>
    <w:next w:val="Normln"/>
    <w:autoRedefine/>
    <w:uiPriority w:val="39"/>
    <w:unhideWhenUsed/>
    <w:rsid w:val="00274903"/>
    <w:pPr>
      <w:spacing w:after="100"/>
      <w:ind w:left="220"/>
    </w:pPr>
  </w:style>
  <w:style w:type="paragraph" w:styleId="Seznamobrzk">
    <w:name w:val="table of figures"/>
    <w:basedOn w:val="Normln"/>
    <w:next w:val="Normln"/>
    <w:uiPriority w:val="99"/>
    <w:unhideWhenUsed/>
    <w:rsid w:val="004308EB"/>
  </w:style>
  <w:style w:type="paragraph" w:customStyle="1" w:styleId="Odstavecstyl">
    <w:name w:val="Odstavec  [styl]"/>
    <w:basedOn w:val="Normln"/>
    <w:link w:val="OdstavecstylChar"/>
    <w:qFormat/>
    <w:rsid w:val="000E30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pPr>
    <w:rPr>
      <w:rFonts w:ascii="Lucida Console" w:eastAsia="Times New Roman" w:hAnsi="Lucida Console" w:cs="Courier New"/>
      <w:sz w:val="20"/>
      <w:szCs w:val="20"/>
      <w:lang w:eastAsia="cs-CZ"/>
    </w:rPr>
  </w:style>
  <w:style w:type="character" w:customStyle="1" w:styleId="OdstavecstylChar">
    <w:name w:val="Odstavec  [styl] Char"/>
    <w:basedOn w:val="Standardnpsmoodstavce"/>
    <w:link w:val="Odstavecstyl"/>
    <w:rsid w:val="000E302E"/>
    <w:rPr>
      <w:rFonts w:ascii="Lucida Console" w:eastAsia="Times New Roman" w:hAnsi="Lucida Console" w:cs="Courier New"/>
      <w:sz w:val="20"/>
      <w:szCs w:val="20"/>
      <w:lang w:eastAsia="cs-CZ"/>
    </w:rPr>
  </w:style>
  <w:style w:type="paragraph" w:customStyle="1" w:styleId="VRMEKUStyl">
    <w:name w:val="V RÁMEČKU [Styl]"/>
    <w:basedOn w:val="Normln"/>
    <w:link w:val="VRMEKUStylChar"/>
    <w:rsid w:val="000E302E"/>
    <w:pPr>
      <w:keepNext/>
      <w:pBdr>
        <w:top w:val="single" w:sz="4" w:space="1" w:color="auto"/>
        <w:left w:val="single" w:sz="4" w:space="4" w:color="auto"/>
        <w:bottom w:val="single" w:sz="4" w:space="1" w:color="auto"/>
        <w:right w:val="single" w:sz="4" w:space="4"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pPr>
    <w:rPr>
      <w:rFonts w:ascii="Lucida Console" w:eastAsia="Times New Roman" w:hAnsi="Lucida Console" w:cs="Courier New"/>
      <w:b/>
      <w:sz w:val="24"/>
      <w:szCs w:val="20"/>
      <w:lang w:eastAsia="cs-CZ"/>
    </w:rPr>
  </w:style>
  <w:style w:type="character" w:customStyle="1" w:styleId="VRMEKUStylChar">
    <w:name w:val="V RÁMEČKU [Styl] Char"/>
    <w:basedOn w:val="Standardnpsmoodstavce"/>
    <w:link w:val="VRMEKUStyl"/>
    <w:rsid w:val="000E302E"/>
    <w:rPr>
      <w:rFonts w:ascii="Lucida Console" w:eastAsia="Times New Roman" w:hAnsi="Lucida Console" w:cs="Courier New"/>
      <w:b/>
      <w:sz w:val="24"/>
      <w:szCs w:val="20"/>
      <w:lang w:eastAsia="cs-CZ"/>
    </w:rPr>
  </w:style>
  <w:style w:type="paragraph" w:styleId="Zkladntext">
    <w:name w:val="Body Text"/>
    <w:basedOn w:val="Normln"/>
    <w:link w:val="ZkladntextChar"/>
    <w:uiPriority w:val="1"/>
    <w:qFormat/>
    <w:rsid w:val="009239DC"/>
    <w:pPr>
      <w:widowControl w:val="0"/>
      <w:ind w:left="476"/>
    </w:pPr>
    <w:rPr>
      <w:rFonts w:ascii="Calibri" w:eastAsia="Calibri" w:hAnsi="Calibri"/>
      <w:lang w:val="en-US"/>
    </w:rPr>
  </w:style>
  <w:style w:type="character" w:customStyle="1" w:styleId="ZkladntextChar">
    <w:name w:val="Základní text Char"/>
    <w:basedOn w:val="Standardnpsmoodstavce"/>
    <w:link w:val="Zkladntext"/>
    <w:uiPriority w:val="1"/>
    <w:rsid w:val="009239DC"/>
    <w:rPr>
      <w:rFonts w:ascii="Calibri" w:eastAsia="Calibri" w:hAnsi="Calibri"/>
      <w:lang w:val="en-US"/>
    </w:rPr>
  </w:style>
  <w:style w:type="paragraph" w:customStyle="1" w:styleId="Oddlstyl">
    <w:name w:val="Oddíl [styl]"/>
    <w:basedOn w:val="Normln"/>
    <w:link w:val="OddlstylChar"/>
    <w:rsid w:val="009A3051"/>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Lines="60" w:after="160"/>
    </w:pPr>
    <w:rPr>
      <w:rFonts w:eastAsiaTheme="minorEastAsia"/>
      <w:b/>
      <w:noProof/>
      <w:sz w:val="24"/>
      <w:u w:val="single"/>
      <w:lang w:eastAsia="cs-CZ"/>
    </w:rPr>
  </w:style>
  <w:style w:type="character" w:customStyle="1" w:styleId="OddlstylChar">
    <w:name w:val="Oddíl [styl] Char"/>
    <w:basedOn w:val="Standardnpsmoodstavce"/>
    <w:link w:val="Oddlstyl"/>
    <w:rsid w:val="009A3051"/>
    <w:rPr>
      <w:rFonts w:eastAsiaTheme="minorEastAsia"/>
      <w:b/>
      <w:noProof/>
      <w:sz w:val="24"/>
      <w:u w:val="single"/>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83147718">
      <w:bodyDiv w:val="1"/>
      <w:marLeft w:val="0"/>
      <w:marRight w:val="0"/>
      <w:marTop w:val="0"/>
      <w:marBottom w:val="0"/>
      <w:divBdr>
        <w:top w:val="none" w:sz="0" w:space="0" w:color="auto"/>
        <w:left w:val="none" w:sz="0" w:space="0" w:color="auto"/>
        <w:bottom w:val="none" w:sz="0" w:space="0" w:color="auto"/>
        <w:right w:val="none" w:sz="0" w:space="0" w:color="auto"/>
      </w:divBdr>
    </w:div>
    <w:div w:id="1768192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B52AB5-4104-457E-A4F2-DD3F9A176E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4</Pages>
  <Words>738</Words>
  <Characters>4357</Characters>
  <Application>Microsoft Office Word</Application>
  <DocSecurity>0</DocSecurity>
  <Lines>36</Lines>
  <Paragraphs>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Radek Žák</dc:creator>
  <cp:keywords/>
  <dc:description/>
  <cp:lastModifiedBy>Jakub Kladiva</cp:lastModifiedBy>
  <cp:revision>28</cp:revision>
  <dcterms:created xsi:type="dcterms:W3CDTF">2024-06-16T18:02:00Z</dcterms:created>
  <dcterms:modified xsi:type="dcterms:W3CDTF">2024-06-28T09:39:00Z</dcterms:modified>
</cp:coreProperties>
</file>